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aption"/>
      </w:pPr>
      <w:r>
        <w:t>Bảng 4.5: Giá trị và khối lượng XK cà phê</w:t>
      </w:r>
    </w:p>
    <w:p>
      <w:pPr/>
      <w:r>
        <w:t>Nguồn: Cục Thống kê, Bộ Nông nghiệp và Môi trường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tbl>
      <w:tblPr>
        <w:tblStyle w:val="Style2"/>
        <w:tblW w:w="5000" w:type="pct"/>
        <w:jc w:val="center"/>
        <w:tblLook w:val="04A0" w:firstRow="1" w:lastRow="0" w:firstColumn="1" w:lastColumn="0" w:noHBand="0" w:noVBand="1"/>
      </w:tblPr>
      <w:tblGrid>
        <w:gridCol w:w="2465"/>
        <w:gridCol w:w="3602"/>
        <w:gridCol w:w="3570"/>
      </w:tblGrid>
      <w:tr w:rsidR="00696776" w:rsidRPr="00AA1785" w14:paraId="5BD340A8" w14:textId="77777777" w:rsidTr="003769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7"/>
          <w:jc w:val="center"/>
        </w:trPr>
        <w:tc>
          <w:tcPr>
            <w:tcW w:w="1279" w:type="pct"/>
            <w:noWrap/>
            <w:vAlign w:val="center"/>
          </w:tcPr>
          <w:p w14:paraId="32727D24" w14:textId="77777777" w:rsidR="00696776" w:rsidRPr="00AA1785" w:rsidRDefault="00696776" w:rsidP="00376958">
            <w:pPr>
              <w:jc w:val="center"/>
              <w:rPr>
                <w:rFonts w:eastAsia="Times New Roman" w:cs="Arial"/>
                <w:b/>
                <w:bCs/>
                <w:szCs w:val="22"/>
              </w:rPr>
            </w:pPr>
            <w:r w:rsidRPr="00AA1785">
              <w:rPr>
                <w:rFonts w:eastAsia="Times New Roman" w:cs="Arial"/>
                <w:b/>
                <w:bCs/>
                <w:szCs w:val="22"/>
              </w:rPr>
              <w:t>Năm</w:t>
            </w:r>
          </w:p>
        </w:tc>
        <w:tc>
          <w:tcPr>
            <w:tcW w:w="1869" w:type="pct"/>
            <w:noWrap/>
            <w:vAlign w:val="center"/>
          </w:tcPr>
          <w:p w14:paraId="6D379EEC" w14:textId="77777777" w:rsidR="00696776" w:rsidRPr="00AA1785" w:rsidRDefault="00696776" w:rsidP="00376958">
            <w:pPr>
              <w:jc w:val="right"/>
              <w:rPr>
                <w:rFonts w:eastAsia="Times New Roman" w:cs="Arial"/>
                <w:b/>
                <w:bCs/>
                <w:szCs w:val="22"/>
              </w:rPr>
            </w:pPr>
            <w:r w:rsidRPr="00AA1785">
              <w:rPr>
                <w:rFonts w:eastAsia="Times New Roman" w:cs="Arial"/>
                <w:b/>
                <w:bCs/>
                <w:szCs w:val="22"/>
              </w:rPr>
              <w:t>Giá trị (Triệu USD)</w:t>
            </w:r>
          </w:p>
        </w:tc>
        <w:tc>
          <w:tcPr>
            <w:tcW w:w="1852" w:type="pct"/>
            <w:noWrap/>
            <w:vAlign w:val="center"/>
          </w:tcPr>
          <w:p w14:paraId="09D8C391" w14:textId="77777777" w:rsidR="00696776" w:rsidRPr="00AA1785" w:rsidRDefault="00696776" w:rsidP="00376958">
            <w:pPr>
              <w:jc w:val="right"/>
              <w:rPr>
                <w:rFonts w:eastAsia="Times New Roman" w:cs="Arial"/>
                <w:b/>
                <w:bCs/>
                <w:szCs w:val="22"/>
              </w:rPr>
            </w:pPr>
            <w:r w:rsidRPr="00AA1785">
              <w:rPr>
                <w:rFonts w:eastAsia="Times New Roman" w:cs="Arial"/>
                <w:b/>
                <w:bCs/>
                <w:szCs w:val="22"/>
              </w:rPr>
              <w:t xml:space="preserve">Khối lượng </w:t>
            </w:r>
            <w:r w:rsidRPr="00AA1785">
              <w:rPr>
                <w:rFonts w:eastAsia="Times New Roman" w:cs="Arial"/>
                <w:b/>
                <w:bCs/>
                <w:szCs w:val="22"/>
                <w:lang w:val="vi-VN"/>
              </w:rPr>
              <w:t>(</w:t>
            </w:r>
            <w:r w:rsidRPr="00AA1785">
              <w:rPr>
                <w:rFonts w:eastAsia="Times New Roman" w:cs="Arial"/>
                <w:b/>
                <w:bCs/>
                <w:szCs w:val="22"/>
              </w:rPr>
              <w:t>tấn)</w:t>
            </w:r>
          </w:p>
        </w:tc>
      </w:tr>
      <w:tr w:rsidR="00696776" w:rsidRPr="00AA1785" w14:paraId="6B4FFA65" w14:textId="77777777" w:rsidTr="00376958">
        <w:trPr>
          <w:trHeight w:val="437"/>
          <w:jc w:val="center"/>
        </w:trPr>
        <w:tc>
          <w:tcPr>
            <w:tcW w:w="1279" w:type="pct"/>
            <w:noWrap/>
            <w:vAlign w:val="center"/>
            <w:hideMark/>
          </w:tcPr>
          <w:p w14:paraId="52644299" w14:textId="77777777" w:rsidR="00696776" w:rsidRPr="00AA1785" w:rsidRDefault="00696776" w:rsidP="00376958">
            <w:pPr>
              <w:jc w:val="center"/>
              <w:rPr>
                <w:rFonts w:eastAsia="Times New Roman" w:cs="Arial"/>
                <w:szCs w:val="22"/>
              </w:rPr>
            </w:pPr>
            <w:r w:rsidRPr="00AA1785">
              <w:rPr>
                <w:rFonts w:cs="Arial"/>
                <w:szCs w:val="22"/>
              </w:rPr>
              <w:t>2015</w:t>
            </w:r>
          </w:p>
        </w:tc>
        <w:tc>
          <w:tcPr>
            <w:tcW w:w="1869" w:type="pct"/>
            <w:noWrap/>
            <w:vAlign w:val="center"/>
            <w:hideMark/>
          </w:tcPr>
          <w:p w14:paraId="6B5BD20E" w14:textId="77777777" w:rsidR="00696776" w:rsidRPr="00AA1785" w:rsidRDefault="00696776" w:rsidP="00376958">
            <w:pPr>
              <w:jc w:val="right"/>
              <w:rPr>
                <w:rFonts w:eastAsia="Times New Roman" w:cs="Arial"/>
                <w:szCs w:val="22"/>
              </w:rPr>
            </w:pPr>
            <w:r w:rsidRPr="00AA1785">
              <w:rPr>
                <w:rFonts w:cs="Arial"/>
                <w:szCs w:val="22"/>
              </w:rPr>
              <w:t>2.674</w:t>
            </w:r>
          </w:p>
        </w:tc>
        <w:tc>
          <w:tcPr>
            <w:tcW w:w="1852" w:type="pct"/>
            <w:noWrap/>
            <w:vAlign w:val="center"/>
            <w:hideMark/>
          </w:tcPr>
          <w:p w14:paraId="3C964132" w14:textId="77777777" w:rsidR="00696776" w:rsidRPr="00AA1785" w:rsidRDefault="00696776" w:rsidP="00376958">
            <w:pPr>
              <w:jc w:val="right"/>
              <w:rPr>
                <w:rFonts w:eastAsia="Times New Roman" w:cs="Arial"/>
                <w:szCs w:val="22"/>
              </w:rPr>
            </w:pPr>
            <w:r w:rsidRPr="00AA1785">
              <w:rPr>
                <w:rFonts w:cs="Arial"/>
                <w:szCs w:val="22"/>
              </w:rPr>
              <w:t>1.155.266</w:t>
            </w:r>
          </w:p>
        </w:tc>
      </w:tr>
      <w:tr w:rsidR="00696776" w:rsidRPr="00AA1785" w14:paraId="5A9B01CF" w14:textId="77777777" w:rsidTr="00376958">
        <w:trPr>
          <w:trHeight w:val="437"/>
          <w:jc w:val="center"/>
        </w:trPr>
        <w:tc>
          <w:tcPr>
            <w:tcW w:w="1279" w:type="pct"/>
            <w:noWrap/>
            <w:vAlign w:val="center"/>
            <w:hideMark/>
          </w:tcPr>
          <w:p w14:paraId="7645EFB8" w14:textId="77777777" w:rsidR="00696776" w:rsidRPr="00AA1785" w:rsidRDefault="00696776" w:rsidP="00376958">
            <w:pPr>
              <w:jc w:val="center"/>
              <w:rPr>
                <w:rFonts w:eastAsia="Times New Roman" w:cs="Arial"/>
                <w:szCs w:val="22"/>
              </w:rPr>
            </w:pPr>
            <w:r w:rsidRPr="00AA1785">
              <w:rPr>
                <w:rFonts w:cs="Arial"/>
                <w:szCs w:val="22"/>
              </w:rPr>
              <w:t>2016</w:t>
            </w:r>
          </w:p>
        </w:tc>
        <w:tc>
          <w:tcPr>
            <w:tcW w:w="1869" w:type="pct"/>
            <w:noWrap/>
            <w:vAlign w:val="center"/>
            <w:hideMark/>
          </w:tcPr>
          <w:p w14:paraId="740A6FEF" w14:textId="77777777" w:rsidR="00696776" w:rsidRPr="00AA1785" w:rsidRDefault="00696776" w:rsidP="00376958">
            <w:pPr>
              <w:jc w:val="right"/>
              <w:rPr>
                <w:rFonts w:eastAsia="Times New Roman" w:cs="Arial"/>
                <w:szCs w:val="22"/>
              </w:rPr>
            </w:pPr>
            <w:r w:rsidRPr="00AA1785">
              <w:rPr>
                <w:rFonts w:cs="Arial"/>
                <w:szCs w:val="22"/>
              </w:rPr>
              <w:t>3.336</w:t>
            </w:r>
          </w:p>
        </w:tc>
        <w:tc>
          <w:tcPr>
            <w:tcW w:w="1852" w:type="pct"/>
            <w:noWrap/>
            <w:vAlign w:val="center"/>
            <w:hideMark/>
          </w:tcPr>
          <w:p w14:paraId="4F751B09" w14:textId="77777777" w:rsidR="00696776" w:rsidRPr="00AA1785" w:rsidRDefault="00696776" w:rsidP="00376958">
            <w:pPr>
              <w:jc w:val="right"/>
              <w:rPr>
                <w:rFonts w:eastAsia="Times New Roman" w:cs="Arial"/>
                <w:szCs w:val="22"/>
              </w:rPr>
            </w:pPr>
            <w:r w:rsidRPr="00AA1785">
              <w:rPr>
                <w:rFonts w:cs="Arial"/>
                <w:szCs w:val="22"/>
              </w:rPr>
              <w:t>1.603.856</w:t>
            </w:r>
          </w:p>
        </w:tc>
      </w:tr>
      <w:tr w:rsidR="00696776" w:rsidRPr="00AA1785" w14:paraId="4DB6EE15" w14:textId="77777777" w:rsidTr="00376958">
        <w:trPr>
          <w:trHeight w:val="437"/>
          <w:jc w:val="center"/>
        </w:trPr>
        <w:tc>
          <w:tcPr>
            <w:tcW w:w="1279" w:type="pct"/>
            <w:noWrap/>
            <w:vAlign w:val="center"/>
            <w:hideMark/>
          </w:tcPr>
          <w:p w14:paraId="07A13E5D" w14:textId="77777777" w:rsidR="00696776" w:rsidRPr="00AA1785" w:rsidRDefault="00696776" w:rsidP="00376958">
            <w:pPr>
              <w:jc w:val="center"/>
              <w:rPr>
                <w:rFonts w:eastAsia="Times New Roman" w:cs="Arial"/>
                <w:szCs w:val="22"/>
              </w:rPr>
            </w:pPr>
            <w:r w:rsidRPr="00AA1785">
              <w:rPr>
                <w:rFonts w:cs="Arial"/>
                <w:szCs w:val="22"/>
              </w:rPr>
              <w:t>2017</w:t>
            </w:r>
          </w:p>
        </w:tc>
        <w:tc>
          <w:tcPr>
            <w:tcW w:w="1869" w:type="pct"/>
            <w:noWrap/>
            <w:vAlign w:val="center"/>
            <w:hideMark/>
          </w:tcPr>
          <w:p w14:paraId="4FE2394B" w14:textId="77777777" w:rsidR="00696776" w:rsidRPr="00AA1785" w:rsidRDefault="00696776" w:rsidP="00376958">
            <w:pPr>
              <w:jc w:val="right"/>
              <w:rPr>
                <w:rFonts w:eastAsia="Times New Roman" w:cs="Arial"/>
                <w:szCs w:val="22"/>
              </w:rPr>
            </w:pPr>
            <w:r w:rsidRPr="00AA1785">
              <w:rPr>
                <w:rFonts w:cs="Arial"/>
                <w:szCs w:val="22"/>
              </w:rPr>
              <w:t>3.244</w:t>
            </w:r>
          </w:p>
        </w:tc>
        <w:tc>
          <w:tcPr>
            <w:tcW w:w="1852" w:type="pct"/>
            <w:noWrap/>
            <w:vAlign w:val="center"/>
            <w:hideMark/>
          </w:tcPr>
          <w:p w14:paraId="34BCE556" w14:textId="77777777" w:rsidR="00696776" w:rsidRPr="00AA1785" w:rsidRDefault="00696776" w:rsidP="00376958">
            <w:pPr>
              <w:jc w:val="right"/>
              <w:rPr>
                <w:rFonts w:eastAsia="Times New Roman" w:cs="Arial"/>
                <w:szCs w:val="22"/>
              </w:rPr>
            </w:pPr>
            <w:r w:rsidRPr="00AA1785">
              <w:rPr>
                <w:rFonts w:cs="Arial"/>
                <w:szCs w:val="22"/>
              </w:rPr>
              <w:t>1.299.895</w:t>
            </w:r>
          </w:p>
        </w:tc>
      </w:tr>
      <w:tr w:rsidR="00696776" w:rsidRPr="00AA1785" w14:paraId="719A00C9" w14:textId="77777777" w:rsidTr="00376958">
        <w:trPr>
          <w:trHeight w:val="437"/>
          <w:jc w:val="center"/>
        </w:trPr>
        <w:tc>
          <w:tcPr>
            <w:tcW w:w="1279" w:type="pct"/>
            <w:noWrap/>
            <w:vAlign w:val="center"/>
            <w:hideMark/>
          </w:tcPr>
          <w:p w14:paraId="7DD86D4C" w14:textId="77777777" w:rsidR="00696776" w:rsidRPr="00AA1785" w:rsidRDefault="00696776" w:rsidP="00376958">
            <w:pPr>
              <w:jc w:val="center"/>
              <w:rPr>
                <w:rFonts w:eastAsia="Times New Roman" w:cs="Arial"/>
                <w:szCs w:val="22"/>
              </w:rPr>
            </w:pPr>
            <w:r w:rsidRPr="00AA1785">
              <w:rPr>
                <w:rFonts w:cs="Arial"/>
                <w:szCs w:val="22"/>
              </w:rPr>
              <w:t>2018</w:t>
            </w:r>
          </w:p>
        </w:tc>
        <w:tc>
          <w:tcPr>
            <w:tcW w:w="1869" w:type="pct"/>
            <w:noWrap/>
            <w:vAlign w:val="center"/>
            <w:hideMark/>
          </w:tcPr>
          <w:p w14:paraId="72E5FC5C" w14:textId="77777777" w:rsidR="00696776" w:rsidRPr="00AA1785" w:rsidRDefault="00696776" w:rsidP="00376958">
            <w:pPr>
              <w:jc w:val="right"/>
              <w:rPr>
                <w:rFonts w:eastAsia="Times New Roman" w:cs="Arial"/>
                <w:szCs w:val="22"/>
              </w:rPr>
            </w:pPr>
            <w:r w:rsidRPr="00AA1785">
              <w:rPr>
                <w:rFonts w:cs="Arial"/>
                <w:szCs w:val="22"/>
              </w:rPr>
              <w:t>3.536</w:t>
            </w:r>
          </w:p>
        </w:tc>
        <w:tc>
          <w:tcPr>
            <w:tcW w:w="1852" w:type="pct"/>
            <w:noWrap/>
            <w:vAlign w:val="center"/>
            <w:hideMark/>
          </w:tcPr>
          <w:p w14:paraId="7C0F4A15" w14:textId="77777777" w:rsidR="00696776" w:rsidRPr="00AA1785" w:rsidRDefault="00696776" w:rsidP="00376958">
            <w:pPr>
              <w:jc w:val="right"/>
              <w:rPr>
                <w:rFonts w:eastAsia="Times New Roman" w:cs="Arial"/>
                <w:szCs w:val="22"/>
              </w:rPr>
            </w:pPr>
            <w:r w:rsidRPr="00AA1785">
              <w:rPr>
                <w:rFonts w:cs="Arial"/>
                <w:szCs w:val="22"/>
              </w:rPr>
              <w:t>1.693.063</w:t>
            </w:r>
          </w:p>
        </w:tc>
      </w:tr>
      <w:tr w:rsidR="00696776" w:rsidRPr="00AA1785" w14:paraId="37DF0C00" w14:textId="77777777" w:rsidTr="00376958">
        <w:trPr>
          <w:trHeight w:val="437"/>
          <w:jc w:val="center"/>
        </w:trPr>
        <w:tc>
          <w:tcPr>
            <w:tcW w:w="1279" w:type="pct"/>
            <w:noWrap/>
            <w:vAlign w:val="center"/>
            <w:hideMark/>
          </w:tcPr>
          <w:p w14:paraId="3C1D1448" w14:textId="77777777" w:rsidR="00696776" w:rsidRPr="00AA1785" w:rsidRDefault="00696776" w:rsidP="00376958">
            <w:pPr>
              <w:jc w:val="center"/>
              <w:rPr>
                <w:rFonts w:eastAsia="Times New Roman" w:cs="Arial"/>
                <w:szCs w:val="22"/>
              </w:rPr>
            </w:pPr>
            <w:r w:rsidRPr="00AA1785">
              <w:rPr>
                <w:rFonts w:cs="Arial"/>
                <w:szCs w:val="22"/>
              </w:rPr>
              <w:t>2019</w:t>
            </w:r>
          </w:p>
        </w:tc>
        <w:tc>
          <w:tcPr>
            <w:tcW w:w="1869" w:type="pct"/>
            <w:noWrap/>
            <w:vAlign w:val="center"/>
            <w:hideMark/>
          </w:tcPr>
          <w:p w14:paraId="429FF256" w14:textId="77777777" w:rsidR="00696776" w:rsidRPr="00AA1785" w:rsidRDefault="00696776" w:rsidP="00376958">
            <w:pPr>
              <w:jc w:val="right"/>
              <w:rPr>
                <w:rFonts w:eastAsia="Times New Roman" w:cs="Arial"/>
                <w:szCs w:val="22"/>
              </w:rPr>
            </w:pPr>
            <w:r w:rsidRPr="00AA1785">
              <w:rPr>
                <w:rFonts w:cs="Arial"/>
                <w:szCs w:val="22"/>
              </w:rPr>
              <w:t>2.860</w:t>
            </w:r>
          </w:p>
        </w:tc>
        <w:tc>
          <w:tcPr>
            <w:tcW w:w="1852" w:type="pct"/>
            <w:noWrap/>
            <w:vAlign w:val="center"/>
            <w:hideMark/>
          </w:tcPr>
          <w:p w14:paraId="0D20A177" w14:textId="77777777" w:rsidR="00696776" w:rsidRPr="00AA1785" w:rsidRDefault="00696776" w:rsidP="00376958">
            <w:pPr>
              <w:jc w:val="right"/>
              <w:rPr>
                <w:rFonts w:eastAsia="Times New Roman" w:cs="Arial"/>
                <w:szCs w:val="22"/>
              </w:rPr>
            </w:pPr>
            <w:r w:rsidRPr="00AA1785">
              <w:rPr>
                <w:rFonts w:cs="Arial"/>
                <w:szCs w:val="22"/>
              </w:rPr>
              <w:t>1.483.615</w:t>
            </w:r>
          </w:p>
        </w:tc>
      </w:tr>
      <w:tr w:rsidR="00696776" w:rsidRPr="00AA1785" w14:paraId="2E9A8C78" w14:textId="77777777" w:rsidTr="00376958">
        <w:trPr>
          <w:trHeight w:val="437"/>
          <w:jc w:val="center"/>
        </w:trPr>
        <w:tc>
          <w:tcPr>
            <w:tcW w:w="1279" w:type="pct"/>
            <w:noWrap/>
            <w:vAlign w:val="center"/>
            <w:hideMark/>
          </w:tcPr>
          <w:p w14:paraId="02DC3791" w14:textId="77777777" w:rsidR="00696776" w:rsidRPr="00AA1785" w:rsidRDefault="00696776" w:rsidP="00376958">
            <w:pPr>
              <w:jc w:val="center"/>
              <w:rPr>
                <w:rFonts w:eastAsia="Times New Roman" w:cs="Arial"/>
                <w:szCs w:val="22"/>
              </w:rPr>
            </w:pPr>
            <w:r w:rsidRPr="00AA1785">
              <w:rPr>
                <w:rFonts w:cs="Arial"/>
                <w:szCs w:val="22"/>
              </w:rPr>
              <w:t>2020</w:t>
            </w:r>
          </w:p>
        </w:tc>
        <w:tc>
          <w:tcPr>
            <w:tcW w:w="1869" w:type="pct"/>
            <w:noWrap/>
            <w:vAlign w:val="center"/>
            <w:hideMark/>
          </w:tcPr>
          <w:p w14:paraId="554C67CD" w14:textId="77777777" w:rsidR="00696776" w:rsidRPr="00AA1785" w:rsidRDefault="00696776" w:rsidP="00376958">
            <w:pPr>
              <w:jc w:val="right"/>
              <w:rPr>
                <w:rFonts w:eastAsia="Times New Roman" w:cs="Arial"/>
                <w:szCs w:val="22"/>
              </w:rPr>
            </w:pPr>
            <w:r w:rsidRPr="00AA1785">
              <w:rPr>
                <w:rFonts w:cs="Arial"/>
                <w:szCs w:val="22"/>
              </w:rPr>
              <w:t>2.741</w:t>
            </w:r>
          </w:p>
        </w:tc>
        <w:tc>
          <w:tcPr>
            <w:tcW w:w="1852" w:type="pct"/>
            <w:noWrap/>
            <w:vAlign w:val="center"/>
            <w:hideMark/>
          </w:tcPr>
          <w:p w14:paraId="6F37112B" w14:textId="77777777" w:rsidR="00696776" w:rsidRPr="00AA1785" w:rsidRDefault="00696776" w:rsidP="00376958">
            <w:pPr>
              <w:jc w:val="right"/>
              <w:rPr>
                <w:rFonts w:eastAsia="Times New Roman" w:cs="Arial"/>
                <w:szCs w:val="22"/>
              </w:rPr>
            </w:pPr>
            <w:r w:rsidRPr="00AA1785">
              <w:rPr>
                <w:rFonts w:cs="Arial"/>
                <w:szCs w:val="22"/>
              </w:rPr>
              <w:t>1.320.719</w:t>
            </w:r>
          </w:p>
        </w:tc>
      </w:tr>
      <w:tr w:rsidR="00696776" w:rsidRPr="00AA1785" w14:paraId="1D0720B4" w14:textId="77777777" w:rsidTr="00376958">
        <w:trPr>
          <w:trHeight w:val="437"/>
          <w:jc w:val="center"/>
        </w:trPr>
        <w:tc>
          <w:tcPr>
            <w:tcW w:w="1279" w:type="pct"/>
            <w:noWrap/>
            <w:vAlign w:val="center"/>
            <w:hideMark/>
          </w:tcPr>
          <w:p w14:paraId="7A0B9628" w14:textId="77777777" w:rsidR="00696776" w:rsidRPr="00AA1785" w:rsidRDefault="00696776" w:rsidP="00376958">
            <w:pPr>
              <w:jc w:val="center"/>
              <w:rPr>
                <w:rFonts w:eastAsia="Times New Roman" w:cs="Arial"/>
                <w:szCs w:val="22"/>
              </w:rPr>
            </w:pPr>
            <w:r w:rsidRPr="00AA1785">
              <w:rPr>
                <w:rFonts w:cs="Arial"/>
                <w:szCs w:val="22"/>
              </w:rPr>
              <w:t>2021</w:t>
            </w:r>
          </w:p>
        </w:tc>
        <w:tc>
          <w:tcPr>
            <w:tcW w:w="1869" w:type="pct"/>
            <w:noWrap/>
            <w:vAlign w:val="center"/>
            <w:hideMark/>
          </w:tcPr>
          <w:p w14:paraId="298C7013" w14:textId="77777777" w:rsidR="00696776" w:rsidRPr="00AA1785" w:rsidRDefault="00696776" w:rsidP="00376958">
            <w:pPr>
              <w:jc w:val="right"/>
              <w:rPr>
                <w:rFonts w:eastAsia="Times New Roman" w:cs="Arial"/>
                <w:szCs w:val="22"/>
              </w:rPr>
            </w:pPr>
            <w:r w:rsidRPr="00AA1785">
              <w:rPr>
                <w:rFonts w:cs="Arial"/>
                <w:szCs w:val="22"/>
              </w:rPr>
              <w:t>3.073</w:t>
            </w:r>
          </w:p>
        </w:tc>
        <w:tc>
          <w:tcPr>
            <w:tcW w:w="1852" w:type="pct"/>
            <w:noWrap/>
            <w:vAlign w:val="center"/>
            <w:hideMark/>
          </w:tcPr>
          <w:p w14:paraId="0BB43FFA" w14:textId="77777777" w:rsidR="00696776" w:rsidRPr="00AA1785" w:rsidRDefault="00696776" w:rsidP="00376958">
            <w:pPr>
              <w:jc w:val="right"/>
              <w:rPr>
                <w:rFonts w:eastAsia="Times New Roman" w:cs="Arial"/>
                <w:szCs w:val="22"/>
              </w:rPr>
            </w:pPr>
            <w:r w:rsidRPr="00AA1785">
              <w:rPr>
                <w:rFonts w:cs="Arial"/>
                <w:szCs w:val="22"/>
              </w:rPr>
              <w:t>1.562.475</w:t>
            </w:r>
          </w:p>
        </w:tc>
      </w:tr>
      <w:tr w:rsidR="00696776" w:rsidRPr="00AA1785" w14:paraId="4DA9A250" w14:textId="77777777" w:rsidTr="00376958">
        <w:trPr>
          <w:trHeight w:val="437"/>
          <w:jc w:val="center"/>
        </w:trPr>
        <w:tc>
          <w:tcPr>
            <w:tcW w:w="1279" w:type="pct"/>
            <w:noWrap/>
            <w:vAlign w:val="center"/>
            <w:hideMark/>
          </w:tcPr>
          <w:p w14:paraId="357E6CC9" w14:textId="77777777" w:rsidR="00696776" w:rsidRPr="00AA1785" w:rsidRDefault="00696776" w:rsidP="00376958">
            <w:pPr>
              <w:jc w:val="center"/>
              <w:rPr>
                <w:rFonts w:eastAsia="Times New Roman" w:cs="Arial"/>
                <w:szCs w:val="22"/>
              </w:rPr>
            </w:pPr>
            <w:r w:rsidRPr="00AA1785">
              <w:rPr>
                <w:rFonts w:cs="Arial"/>
                <w:szCs w:val="22"/>
              </w:rPr>
              <w:t>2022</w:t>
            </w:r>
          </w:p>
        </w:tc>
        <w:tc>
          <w:tcPr>
            <w:tcW w:w="1869" w:type="pct"/>
            <w:noWrap/>
            <w:vAlign w:val="center"/>
            <w:hideMark/>
          </w:tcPr>
          <w:p w14:paraId="4E203B3A" w14:textId="77777777" w:rsidR="00696776" w:rsidRPr="00AA1785" w:rsidRDefault="00696776" w:rsidP="00376958">
            <w:pPr>
              <w:jc w:val="right"/>
              <w:rPr>
                <w:rFonts w:eastAsia="Times New Roman" w:cs="Arial"/>
                <w:szCs w:val="22"/>
              </w:rPr>
            </w:pPr>
            <w:r w:rsidRPr="00AA1785">
              <w:rPr>
                <w:rFonts w:cs="Arial"/>
                <w:szCs w:val="22"/>
              </w:rPr>
              <w:t>4.056</w:t>
            </w:r>
          </w:p>
        </w:tc>
        <w:tc>
          <w:tcPr>
            <w:tcW w:w="1852" w:type="pct"/>
            <w:noWrap/>
            <w:vAlign w:val="center"/>
            <w:hideMark/>
          </w:tcPr>
          <w:p w14:paraId="458D029A" w14:textId="77777777" w:rsidR="00696776" w:rsidRPr="00AA1785" w:rsidRDefault="00696776" w:rsidP="00376958">
            <w:pPr>
              <w:jc w:val="right"/>
              <w:rPr>
                <w:rFonts w:eastAsia="Times New Roman" w:cs="Arial"/>
                <w:szCs w:val="22"/>
              </w:rPr>
            </w:pPr>
            <w:r w:rsidRPr="00AA1785">
              <w:rPr>
                <w:rFonts w:cs="Arial"/>
                <w:szCs w:val="22"/>
              </w:rPr>
              <w:t>1.777.512</w:t>
            </w:r>
          </w:p>
        </w:tc>
      </w:tr>
      <w:tr w:rsidR="00696776" w:rsidRPr="00AA1785" w14:paraId="1C1ABEDC" w14:textId="77777777" w:rsidTr="00376958">
        <w:trPr>
          <w:trHeight w:val="437"/>
          <w:jc w:val="center"/>
        </w:trPr>
        <w:tc>
          <w:tcPr>
            <w:tcW w:w="1279" w:type="pct"/>
            <w:noWrap/>
            <w:vAlign w:val="center"/>
            <w:hideMark/>
          </w:tcPr>
          <w:p w14:paraId="7FC4C521" w14:textId="77777777" w:rsidR="00696776" w:rsidRPr="00AA1785" w:rsidRDefault="00696776" w:rsidP="00376958">
            <w:pPr>
              <w:jc w:val="center"/>
              <w:rPr>
                <w:rFonts w:eastAsia="Times New Roman" w:cs="Arial"/>
                <w:szCs w:val="22"/>
              </w:rPr>
            </w:pPr>
            <w:r w:rsidRPr="00AA1785">
              <w:rPr>
                <w:rFonts w:cs="Arial"/>
                <w:szCs w:val="22"/>
              </w:rPr>
              <w:t>2023</w:t>
            </w:r>
          </w:p>
        </w:tc>
        <w:tc>
          <w:tcPr>
            <w:tcW w:w="1869" w:type="pct"/>
            <w:noWrap/>
            <w:vAlign w:val="center"/>
            <w:hideMark/>
          </w:tcPr>
          <w:p w14:paraId="3ACB7CAC" w14:textId="77777777" w:rsidR="00696776" w:rsidRPr="00AA1785" w:rsidRDefault="00696776" w:rsidP="00376958">
            <w:pPr>
              <w:jc w:val="right"/>
              <w:rPr>
                <w:rFonts w:eastAsia="Times New Roman" w:cs="Arial"/>
                <w:szCs w:val="22"/>
              </w:rPr>
            </w:pPr>
            <w:r w:rsidRPr="00AA1785">
              <w:rPr>
                <w:rFonts w:cs="Arial"/>
                <w:szCs w:val="22"/>
              </w:rPr>
              <w:t>4.243</w:t>
            </w:r>
          </w:p>
        </w:tc>
        <w:tc>
          <w:tcPr>
            <w:tcW w:w="1852" w:type="pct"/>
            <w:noWrap/>
            <w:vAlign w:val="center"/>
            <w:hideMark/>
          </w:tcPr>
          <w:p w14:paraId="2B7AABBA" w14:textId="77777777" w:rsidR="00696776" w:rsidRPr="00AA1785" w:rsidRDefault="00696776" w:rsidP="00376958">
            <w:pPr>
              <w:jc w:val="right"/>
              <w:rPr>
                <w:rFonts w:eastAsia="Times New Roman" w:cs="Arial"/>
                <w:szCs w:val="22"/>
              </w:rPr>
            </w:pPr>
            <w:r w:rsidRPr="00AA1785">
              <w:rPr>
                <w:rFonts w:cs="Arial"/>
                <w:szCs w:val="22"/>
              </w:rPr>
              <w:t>1.623.138</w:t>
            </w:r>
          </w:p>
        </w:tc>
      </w:tr>
      <w:tr w:rsidR="009B5A3C" w:rsidRPr="00AA1785" w14:paraId="24B25A98" w14:textId="77777777" w:rsidTr="009B5A3C">
        <w:trPr>
          <w:trHeight w:val="437"/>
          <w:jc w:val="center"/>
        </w:trPr>
        <w:tc>
          <w:tcPr>
            <w:tcW w:w="1279" w:type="pct"/>
            <w:noWrap/>
            <w:vAlign w:val="center"/>
            <w:hideMark/>
          </w:tcPr>
          <w:p w14:paraId="4918D1EB" w14:textId="1AE29511" w:rsidR="009B5A3C" w:rsidRPr="00AA1785" w:rsidRDefault="009B5A3C" w:rsidP="009B5A3C">
            <w:pPr>
              <w:jc w:val="center"/>
              <w:rPr>
                <w:rFonts w:eastAsia="Times New Roman" w:cs="Arial"/>
                <w:szCs w:val="22"/>
              </w:rPr>
            </w:pPr>
            <w:r w:rsidRPr="00AA1785">
              <w:rPr>
                <w:rFonts w:cs="Arial"/>
                <w:szCs w:val="22"/>
              </w:rPr>
              <w:t>2024</w:t>
            </w:r>
          </w:p>
        </w:tc>
        <w:tc>
          <w:tcPr>
            <w:tcW w:w="1869" w:type="pct"/>
            <w:noWrap/>
            <w:vAlign w:val="center"/>
            <w:hideMark/>
          </w:tcPr>
          <w:p w14:paraId="5839EF99" w14:textId="45E58AD1" w:rsidR="009B5A3C" w:rsidRPr="00AA1785" w:rsidRDefault="009B5A3C" w:rsidP="009B5A3C">
            <w:pPr>
              <w:jc w:val="right"/>
              <w:rPr>
                <w:rFonts w:eastAsia="Times New Roman" w:cs="Arial"/>
                <w:szCs w:val="22"/>
              </w:rPr>
            </w:pPr>
            <w:r w:rsidRPr="00AA1785">
              <w:rPr>
                <w:rFonts w:cs="Arial"/>
                <w:szCs w:val="22"/>
              </w:rPr>
              <w:t>5.620</w:t>
            </w:r>
          </w:p>
        </w:tc>
        <w:tc>
          <w:tcPr>
            <w:tcW w:w="1852" w:type="pct"/>
            <w:noWrap/>
            <w:vAlign w:val="center"/>
            <w:hideMark/>
          </w:tcPr>
          <w:p w14:paraId="41A9A882" w14:textId="57B5E9B3" w:rsidR="009B5A3C" w:rsidRPr="00AA1785" w:rsidRDefault="009B5A3C" w:rsidP="009B5A3C">
            <w:pPr>
              <w:jc w:val="right"/>
              <w:rPr>
                <w:rFonts w:eastAsia="Times New Roman" w:cs="Arial"/>
                <w:szCs w:val="22"/>
              </w:rPr>
            </w:pPr>
            <w:r w:rsidRPr="00AA1785">
              <w:rPr>
                <w:rFonts w:cs="Arial"/>
                <w:szCs w:val="22"/>
              </w:rPr>
              <w:t>1.345.202</w:t>
            </w:r>
          </w:p>
        </w:tc>
      </w:tr>
      <w:tr w:rsidR="009B5A3C" w:rsidRPr="00AA1785" w14:paraId="2781B814" w14:textId="77777777" w:rsidTr="00376958">
        <w:trPr>
          <w:trHeight w:val="437"/>
          <w:jc w:val="center"/>
        </w:trPr>
        <w:tc>
          <w:tcPr>
            <w:tcW w:w="1279" w:type="pct"/>
            <w:tcBorders>
              <w:bottom w:val="single" w:sz="18" w:space="0" w:color="8AB833" w:themeColor="accent2"/>
            </w:tcBorders>
            <w:noWrap/>
            <w:vAlign w:val="center"/>
          </w:tcPr>
          <w:p w14:paraId="285ACA5D" w14:textId="78D35622" w:rsidR="009B5A3C" w:rsidRPr="00AA1785" w:rsidRDefault="009B5A3C" w:rsidP="009B5A3C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2025</w:t>
            </w:r>
          </w:p>
        </w:tc>
        <w:tc>
          <w:tcPr>
            <w:tcW w:w="1869" w:type="pct"/>
            <w:tcBorders>
              <w:bottom w:val="single" w:sz="18" w:space="0" w:color="8AB833" w:themeColor="accent2"/>
            </w:tcBorders>
            <w:noWrap/>
            <w:vAlign w:val="center"/>
          </w:tcPr>
          <w:p w14:paraId="3E120BB5" w14:textId="5E9C5BF2" w:rsidR="009B5A3C" w:rsidRPr="00AA1785" w:rsidRDefault="009B5A3C" w:rsidP="009B5A3C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8.924</w:t>
            </w:r>
          </w:p>
        </w:tc>
        <w:tc>
          <w:tcPr>
            <w:tcW w:w="1852" w:type="pct"/>
            <w:tcBorders>
              <w:bottom w:val="single" w:sz="18" w:space="0" w:color="8AB833" w:themeColor="accent2"/>
            </w:tcBorders>
            <w:noWrap/>
            <w:vAlign w:val="center"/>
          </w:tcPr>
          <w:p w14:paraId="5557E1E4" w14:textId="2F804E06" w:rsidR="009B5A3C" w:rsidRPr="00AA1785" w:rsidRDefault="009B5A3C" w:rsidP="009B5A3C">
            <w:pPr>
              <w:jc w:val="right"/>
              <w:rPr>
                <w:rFonts w:cs="Arial"/>
                <w:szCs w:val="22"/>
              </w:rPr>
            </w:pPr>
            <w:r w:rsidRPr="00EF5C59">
              <w:rPr>
                <w:rFonts w:cs="Arial"/>
                <w:bCs/>
                <w:szCs w:val="22"/>
                <w:lang w:val="en-SG"/>
              </w:rPr>
              <w:t>1.592.288</w:t>
            </w:r>
          </w:p>
        </w:tc>
      </w:tr>
    </w:tbl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