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5.8: Diện tích, năng suất, sản lượng của một số nước lớn trên thế giới 2024</w:t>
      </w:r>
    </w:p>
    <w:p>
      <w:pPr/>
      <w:r>
        <w:t>Nguồn: ITC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732"/>
        <w:gridCol w:w="2783"/>
        <w:gridCol w:w="1925"/>
        <w:gridCol w:w="2197"/>
      </w:tblGrid>
      <w:tr w:rsidR="00CC17D5" w:rsidRPr="00AA1785" w14:paraId="1D07CC98" w14:textId="77777777" w:rsidTr="00CC1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417" w:type="pct"/>
            <w:noWrap/>
            <w:hideMark/>
          </w:tcPr>
          <w:p w14:paraId="353B7474" w14:textId="77777777" w:rsidR="00CC17D5" w:rsidRPr="00AA1785" w:rsidRDefault="00CC17D5" w:rsidP="00CC17D5">
            <w:pPr>
              <w:rPr>
                <w:rFonts w:cs="Arial"/>
                <w:iCs/>
                <w:szCs w:val="22"/>
              </w:rPr>
            </w:pPr>
            <w:r w:rsidRPr="00AA1785">
              <w:rPr>
                <w:rFonts w:cs="Arial"/>
                <w:iCs/>
                <w:szCs w:val="22"/>
              </w:rPr>
              <w:t> </w:t>
            </w:r>
          </w:p>
        </w:tc>
        <w:tc>
          <w:tcPr>
            <w:tcW w:w="1444" w:type="pct"/>
            <w:noWrap/>
            <w:vAlign w:val="center"/>
            <w:hideMark/>
          </w:tcPr>
          <w:p w14:paraId="44EF5783" w14:textId="77777777" w:rsidR="00CC17D5" w:rsidRPr="00AA1785" w:rsidRDefault="00CC17D5" w:rsidP="00CC17D5">
            <w:pPr>
              <w:jc w:val="right"/>
              <w:rPr>
                <w:rFonts w:cs="Arial"/>
                <w:b/>
                <w:bCs/>
                <w:iCs/>
                <w:szCs w:val="22"/>
              </w:rPr>
            </w:pPr>
            <w:r w:rsidRPr="00AA1785">
              <w:rPr>
                <w:rFonts w:cs="Arial"/>
                <w:b/>
                <w:bCs/>
                <w:iCs/>
                <w:szCs w:val="22"/>
              </w:rPr>
              <w:t xml:space="preserve"> Diện tích thu hoạch (ha) </w:t>
            </w:r>
          </w:p>
        </w:tc>
        <w:tc>
          <w:tcPr>
            <w:tcW w:w="999" w:type="pct"/>
            <w:noWrap/>
            <w:vAlign w:val="center"/>
            <w:hideMark/>
          </w:tcPr>
          <w:p w14:paraId="2CFD2079" w14:textId="77777777" w:rsidR="00CC17D5" w:rsidRPr="00AA1785" w:rsidRDefault="00CC17D5" w:rsidP="00CC17D5">
            <w:pPr>
              <w:jc w:val="right"/>
              <w:rPr>
                <w:rFonts w:cs="Arial"/>
                <w:b/>
                <w:bCs/>
                <w:iCs/>
                <w:szCs w:val="22"/>
              </w:rPr>
            </w:pPr>
            <w:r w:rsidRPr="00AA1785">
              <w:rPr>
                <w:rFonts w:cs="Arial"/>
                <w:b/>
                <w:bCs/>
                <w:iCs/>
                <w:szCs w:val="22"/>
              </w:rPr>
              <w:t xml:space="preserve"> Sản lượng (tấn) </w:t>
            </w:r>
          </w:p>
        </w:tc>
        <w:tc>
          <w:tcPr>
            <w:tcW w:w="1140" w:type="pct"/>
            <w:noWrap/>
            <w:vAlign w:val="center"/>
            <w:hideMark/>
          </w:tcPr>
          <w:p w14:paraId="05D37A4F" w14:textId="77777777" w:rsidR="00CC17D5" w:rsidRPr="00AA1785" w:rsidRDefault="00CC17D5" w:rsidP="00CC17D5">
            <w:pPr>
              <w:jc w:val="right"/>
              <w:rPr>
                <w:rFonts w:cs="Arial"/>
                <w:b/>
                <w:bCs/>
                <w:iCs/>
                <w:szCs w:val="22"/>
              </w:rPr>
            </w:pPr>
            <w:r w:rsidRPr="00AA1785">
              <w:rPr>
                <w:rFonts w:cs="Arial"/>
                <w:b/>
                <w:bCs/>
                <w:iCs/>
                <w:szCs w:val="22"/>
              </w:rPr>
              <w:t xml:space="preserve"> Năng suất (tấn/ha) </w:t>
            </w:r>
          </w:p>
        </w:tc>
      </w:tr>
      <w:tr w:rsidR="00630F83" w:rsidRPr="00AA1785" w14:paraId="43D37A33" w14:textId="77777777" w:rsidTr="00B971C4">
        <w:trPr>
          <w:trHeight w:val="397"/>
        </w:trPr>
        <w:tc>
          <w:tcPr>
            <w:tcW w:w="1417" w:type="pct"/>
            <w:noWrap/>
            <w:vAlign w:val="bottom"/>
            <w:hideMark/>
          </w:tcPr>
          <w:p w14:paraId="4F4096EB" w14:textId="6072C760" w:rsidR="00630F83" w:rsidRPr="00AA1785" w:rsidRDefault="00630F83" w:rsidP="00630F83">
            <w:pPr>
              <w:jc w:val="left"/>
              <w:rPr>
                <w:rFonts w:cs="Arial"/>
                <w:iCs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Tổng</w:t>
            </w:r>
          </w:p>
        </w:tc>
        <w:tc>
          <w:tcPr>
            <w:tcW w:w="1444" w:type="pct"/>
            <w:noWrap/>
            <w:vAlign w:val="bottom"/>
            <w:hideMark/>
          </w:tcPr>
          <w:p w14:paraId="7BEA9BF2" w14:textId="734B379E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 857.754 </w:t>
            </w:r>
          </w:p>
        </w:tc>
        <w:tc>
          <w:tcPr>
            <w:tcW w:w="999" w:type="pct"/>
            <w:noWrap/>
            <w:vAlign w:val="bottom"/>
            <w:hideMark/>
          </w:tcPr>
          <w:p w14:paraId="726D864D" w14:textId="7EEAD7D5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 933.416 </w:t>
            </w:r>
          </w:p>
        </w:tc>
        <w:tc>
          <w:tcPr>
            <w:tcW w:w="1140" w:type="pct"/>
            <w:noWrap/>
            <w:vAlign w:val="bottom"/>
            <w:hideMark/>
          </w:tcPr>
          <w:p w14:paraId="6EC62DAF" w14:textId="126F16BE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      1,09 </w:t>
            </w:r>
          </w:p>
        </w:tc>
      </w:tr>
      <w:tr w:rsidR="00630F83" w:rsidRPr="00AA1785" w14:paraId="15E2194B" w14:textId="77777777" w:rsidTr="00B971C4">
        <w:trPr>
          <w:trHeight w:val="397"/>
        </w:trPr>
        <w:tc>
          <w:tcPr>
            <w:tcW w:w="1417" w:type="pct"/>
            <w:noWrap/>
            <w:vAlign w:val="bottom"/>
            <w:hideMark/>
          </w:tcPr>
          <w:p w14:paraId="2303D876" w14:textId="7D8051BE" w:rsidR="00630F83" w:rsidRPr="00AA1785" w:rsidRDefault="00630F83" w:rsidP="00630F83">
            <w:pPr>
              <w:jc w:val="lef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Ấn Độ</w:t>
            </w:r>
          </w:p>
        </w:tc>
        <w:tc>
          <w:tcPr>
            <w:tcW w:w="1444" w:type="pct"/>
            <w:noWrap/>
            <w:vAlign w:val="bottom"/>
            <w:hideMark/>
          </w:tcPr>
          <w:p w14:paraId="6593E9DA" w14:textId="57A5D9DA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312.902 </w:t>
            </w:r>
          </w:p>
        </w:tc>
        <w:tc>
          <w:tcPr>
            <w:tcW w:w="999" w:type="pct"/>
            <w:noWrap/>
            <w:vAlign w:val="bottom"/>
            <w:hideMark/>
          </w:tcPr>
          <w:p w14:paraId="767F38DE" w14:textId="659C7E9F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126.038 </w:t>
            </w:r>
          </w:p>
        </w:tc>
        <w:tc>
          <w:tcPr>
            <w:tcW w:w="1140" w:type="pct"/>
            <w:noWrap/>
            <w:vAlign w:val="bottom"/>
            <w:hideMark/>
          </w:tcPr>
          <w:p w14:paraId="09B59357" w14:textId="3E3FF324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0,40 </w:t>
            </w:r>
          </w:p>
        </w:tc>
      </w:tr>
      <w:tr w:rsidR="00630F83" w:rsidRPr="00AA1785" w14:paraId="53F725EB" w14:textId="77777777" w:rsidTr="00B971C4">
        <w:trPr>
          <w:trHeight w:val="397"/>
        </w:trPr>
        <w:tc>
          <w:tcPr>
            <w:tcW w:w="1417" w:type="pct"/>
            <w:noWrap/>
            <w:vAlign w:val="bottom"/>
            <w:hideMark/>
          </w:tcPr>
          <w:p w14:paraId="1DF11DED" w14:textId="08A1858E" w:rsidR="00630F83" w:rsidRPr="00AA1785" w:rsidRDefault="00630F83" w:rsidP="00630F83">
            <w:pPr>
              <w:jc w:val="lef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Indonesia</w:t>
            </w:r>
          </w:p>
        </w:tc>
        <w:tc>
          <w:tcPr>
            <w:tcW w:w="1444" w:type="pct"/>
            <w:noWrap/>
            <w:vAlign w:val="bottom"/>
            <w:hideMark/>
          </w:tcPr>
          <w:p w14:paraId="4615D21B" w14:textId="45D38F25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163.629 </w:t>
            </w:r>
          </w:p>
        </w:tc>
        <w:tc>
          <w:tcPr>
            <w:tcW w:w="999" w:type="pct"/>
            <w:noWrap/>
            <w:vAlign w:val="bottom"/>
            <w:hideMark/>
          </w:tcPr>
          <w:p w14:paraId="4E2A3AD0" w14:textId="5F5040E3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62.625 </w:t>
            </w:r>
          </w:p>
        </w:tc>
        <w:tc>
          <w:tcPr>
            <w:tcW w:w="1140" w:type="pct"/>
            <w:noWrap/>
            <w:vAlign w:val="bottom"/>
            <w:hideMark/>
          </w:tcPr>
          <w:p w14:paraId="451F11B5" w14:textId="4A269087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0,38 </w:t>
            </w:r>
          </w:p>
        </w:tc>
      </w:tr>
      <w:tr w:rsidR="00630F83" w:rsidRPr="00AA1785" w14:paraId="6139F590" w14:textId="77777777" w:rsidTr="00B971C4">
        <w:trPr>
          <w:trHeight w:val="397"/>
        </w:trPr>
        <w:tc>
          <w:tcPr>
            <w:tcW w:w="1417" w:type="pct"/>
            <w:noWrap/>
            <w:vAlign w:val="bottom"/>
            <w:hideMark/>
          </w:tcPr>
          <w:p w14:paraId="4B76880E" w14:textId="7F352A1B" w:rsidR="00630F83" w:rsidRPr="00AA1785" w:rsidRDefault="00630F83" w:rsidP="00630F83">
            <w:pPr>
              <w:jc w:val="left"/>
              <w:rPr>
                <w:rFonts w:cs="Arial"/>
                <w:iCs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  <w:lang w:val="vi-VN"/>
              </w:rPr>
              <w:t>Việt Nam</w:t>
            </w:r>
          </w:p>
        </w:tc>
        <w:tc>
          <w:tcPr>
            <w:tcW w:w="1444" w:type="pct"/>
            <w:noWrap/>
            <w:vAlign w:val="bottom"/>
            <w:hideMark/>
          </w:tcPr>
          <w:p w14:paraId="1D4E5934" w14:textId="70396A13" w:rsidR="00630F83" w:rsidRPr="00AA1785" w:rsidRDefault="00630F83" w:rsidP="00630F83">
            <w:pPr>
              <w:jc w:val="right"/>
              <w:rPr>
                <w:rFonts w:cs="Arial"/>
                <w:iCs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98.616 </w:t>
            </w:r>
          </w:p>
        </w:tc>
        <w:tc>
          <w:tcPr>
            <w:tcW w:w="999" w:type="pct"/>
            <w:noWrap/>
            <w:vAlign w:val="bottom"/>
            <w:hideMark/>
          </w:tcPr>
          <w:p w14:paraId="61C0EABE" w14:textId="611F83F7" w:rsidR="00630F83" w:rsidRPr="00AA1785" w:rsidRDefault="00630F83" w:rsidP="00630F83">
            <w:pPr>
              <w:jc w:val="right"/>
              <w:rPr>
                <w:rFonts w:cs="Arial"/>
                <w:iCs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262.230 </w:t>
            </w:r>
          </w:p>
        </w:tc>
        <w:tc>
          <w:tcPr>
            <w:tcW w:w="1140" w:type="pct"/>
            <w:noWrap/>
            <w:vAlign w:val="bottom"/>
            <w:hideMark/>
          </w:tcPr>
          <w:p w14:paraId="40FA6679" w14:textId="2665EC7F" w:rsidR="00630F83" w:rsidRPr="00AA1785" w:rsidRDefault="00630F83" w:rsidP="00630F83">
            <w:pPr>
              <w:jc w:val="right"/>
              <w:rPr>
                <w:rFonts w:cs="Arial"/>
                <w:iCs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2,66 </w:t>
            </w:r>
          </w:p>
        </w:tc>
      </w:tr>
      <w:tr w:rsidR="00630F83" w:rsidRPr="00AA1785" w14:paraId="18165D21" w14:textId="77777777" w:rsidTr="00B971C4">
        <w:trPr>
          <w:trHeight w:val="397"/>
        </w:trPr>
        <w:tc>
          <w:tcPr>
            <w:tcW w:w="1417" w:type="pct"/>
            <w:noWrap/>
            <w:vAlign w:val="bottom"/>
            <w:hideMark/>
          </w:tcPr>
          <w:p w14:paraId="078E8BB4" w14:textId="27925279" w:rsidR="00630F83" w:rsidRPr="00AA1785" w:rsidRDefault="00630F83" w:rsidP="00630F83">
            <w:pPr>
              <w:jc w:val="lef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Burkina Faso</w:t>
            </w:r>
          </w:p>
        </w:tc>
        <w:tc>
          <w:tcPr>
            <w:tcW w:w="1444" w:type="pct"/>
            <w:noWrap/>
            <w:vAlign w:val="bottom"/>
            <w:hideMark/>
          </w:tcPr>
          <w:p w14:paraId="02922B92" w14:textId="518BBDC7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98.417 </w:t>
            </w:r>
          </w:p>
        </w:tc>
        <w:tc>
          <w:tcPr>
            <w:tcW w:w="999" w:type="pct"/>
            <w:noWrap/>
            <w:vAlign w:val="bottom"/>
            <w:hideMark/>
          </w:tcPr>
          <w:p w14:paraId="3C9E35D7" w14:textId="03972850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77.932 </w:t>
            </w:r>
          </w:p>
        </w:tc>
        <w:tc>
          <w:tcPr>
            <w:tcW w:w="1140" w:type="pct"/>
            <w:noWrap/>
            <w:vAlign w:val="bottom"/>
            <w:hideMark/>
          </w:tcPr>
          <w:p w14:paraId="1C843C9F" w14:textId="5DE8E964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0,79 </w:t>
            </w:r>
          </w:p>
        </w:tc>
      </w:tr>
      <w:tr w:rsidR="00630F83" w:rsidRPr="00AA1785" w14:paraId="74585020" w14:textId="77777777" w:rsidTr="00B971C4">
        <w:trPr>
          <w:trHeight w:val="397"/>
        </w:trPr>
        <w:tc>
          <w:tcPr>
            <w:tcW w:w="1417" w:type="pct"/>
            <w:noWrap/>
            <w:vAlign w:val="bottom"/>
            <w:hideMark/>
          </w:tcPr>
          <w:p w14:paraId="2CFF8BC3" w14:textId="20478AB9" w:rsidR="00630F83" w:rsidRPr="00AA1785" w:rsidRDefault="00630F83" w:rsidP="00630F83">
            <w:pPr>
              <w:jc w:val="lef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Sri Lanka</w:t>
            </w:r>
          </w:p>
        </w:tc>
        <w:tc>
          <w:tcPr>
            <w:tcW w:w="1444" w:type="pct"/>
            <w:noWrap/>
            <w:vAlign w:val="bottom"/>
            <w:hideMark/>
          </w:tcPr>
          <w:p w14:paraId="62A18A56" w14:textId="1898197D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48.875 </w:t>
            </w:r>
          </w:p>
        </w:tc>
        <w:tc>
          <w:tcPr>
            <w:tcW w:w="999" w:type="pct"/>
            <w:noWrap/>
            <w:vAlign w:val="bottom"/>
            <w:hideMark/>
          </w:tcPr>
          <w:p w14:paraId="6A44DE8E" w14:textId="63F348EC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44.467 </w:t>
            </w:r>
          </w:p>
        </w:tc>
        <w:tc>
          <w:tcPr>
            <w:tcW w:w="1140" w:type="pct"/>
            <w:noWrap/>
            <w:vAlign w:val="bottom"/>
            <w:hideMark/>
          </w:tcPr>
          <w:p w14:paraId="6F1ADB34" w14:textId="7737DFCE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0,91 </w:t>
            </w:r>
          </w:p>
        </w:tc>
      </w:tr>
      <w:tr w:rsidR="00630F83" w:rsidRPr="00AA1785" w14:paraId="2B54A380" w14:textId="77777777" w:rsidTr="00B971C4">
        <w:trPr>
          <w:trHeight w:val="397"/>
        </w:trPr>
        <w:tc>
          <w:tcPr>
            <w:tcW w:w="1417" w:type="pct"/>
            <w:noWrap/>
            <w:vAlign w:val="bottom"/>
            <w:hideMark/>
          </w:tcPr>
          <w:p w14:paraId="7B06CDBD" w14:textId="3831F009" w:rsidR="00630F83" w:rsidRPr="00AA1785" w:rsidRDefault="00630F83" w:rsidP="00630F83">
            <w:pPr>
              <w:jc w:val="lef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Brazil</w:t>
            </w:r>
          </w:p>
        </w:tc>
        <w:tc>
          <w:tcPr>
            <w:tcW w:w="1444" w:type="pct"/>
            <w:noWrap/>
            <w:vAlign w:val="bottom"/>
            <w:hideMark/>
          </w:tcPr>
          <w:p w14:paraId="4F0FBE13" w14:textId="18679864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42.402 </w:t>
            </w:r>
          </w:p>
        </w:tc>
        <w:tc>
          <w:tcPr>
            <w:tcW w:w="999" w:type="pct"/>
            <w:noWrap/>
            <w:vAlign w:val="bottom"/>
            <w:hideMark/>
          </w:tcPr>
          <w:p w14:paraId="29FBC6D4" w14:textId="1C77DEDF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124.925 </w:t>
            </w:r>
          </w:p>
        </w:tc>
        <w:tc>
          <w:tcPr>
            <w:tcW w:w="1140" w:type="pct"/>
            <w:noWrap/>
            <w:vAlign w:val="bottom"/>
            <w:hideMark/>
          </w:tcPr>
          <w:p w14:paraId="3B078A62" w14:textId="52D58D5A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2,95 </w:t>
            </w:r>
          </w:p>
        </w:tc>
      </w:tr>
      <w:tr w:rsidR="00630F83" w:rsidRPr="00AA1785" w14:paraId="661BF488" w14:textId="77777777" w:rsidTr="00B971C4">
        <w:trPr>
          <w:trHeight w:val="397"/>
        </w:trPr>
        <w:tc>
          <w:tcPr>
            <w:tcW w:w="1417" w:type="pct"/>
            <w:noWrap/>
            <w:vAlign w:val="bottom"/>
            <w:hideMark/>
          </w:tcPr>
          <w:p w14:paraId="69112D6E" w14:textId="42580B26" w:rsidR="00630F83" w:rsidRPr="00AA1785" w:rsidRDefault="00630F83" w:rsidP="00630F83">
            <w:pPr>
              <w:jc w:val="lef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Trung Quốc</w:t>
            </w:r>
          </w:p>
        </w:tc>
        <w:tc>
          <w:tcPr>
            <w:tcW w:w="1444" w:type="pct"/>
            <w:noWrap/>
            <w:vAlign w:val="bottom"/>
            <w:hideMark/>
          </w:tcPr>
          <w:p w14:paraId="5308BD2F" w14:textId="7D45334D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18.534 </w:t>
            </w:r>
          </w:p>
        </w:tc>
        <w:tc>
          <w:tcPr>
            <w:tcW w:w="999" w:type="pct"/>
            <w:noWrap/>
            <w:vAlign w:val="bottom"/>
            <w:hideMark/>
          </w:tcPr>
          <w:p w14:paraId="114EA751" w14:textId="14D20FFB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34.814 </w:t>
            </w:r>
          </w:p>
        </w:tc>
        <w:tc>
          <w:tcPr>
            <w:tcW w:w="1140" w:type="pct"/>
            <w:noWrap/>
            <w:vAlign w:val="bottom"/>
            <w:hideMark/>
          </w:tcPr>
          <w:p w14:paraId="11758FD7" w14:textId="127665C5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1,88 </w:t>
            </w:r>
          </w:p>
        </w:tc>
      </w:tr>
      <w:tr w:rsidR="00630F83" w:rsidRPr="00AA1785" w14:paraId="57EF0488" w14:textId="77777777" w:rsidTr="00B971C4">
        <w:trPr>
          <w:trHeight w:val="397"/>
        </w:trPr>
        <w:tc>
          <w:tcPr>
            <w:tcW w:w="1417" w:type="pct"/>
            <w:noWrap/>
            <w:vAlign w:val="bottom"/>
            <w:hideMark/>
          </w:tcPr>
          <w:p w14:paraId="598105E8" w14:textId="00A396B3" w:rsidR="00630F83" w:rsidRPr="00AA1785" w:rsidRDefault="00630F83" w:rsidP="00630F83">
            <w:pPr>
              <w:jc w:val="lef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Niger</w:t>
            </w:r>
          </w:p>
        </w:tc>
        <w:tc>
          <w:tcPr>
            <w:tcW w:w="1444" w:type="pct"/>
            <w:noWrap/>
            <w:vAlign w:val="bottom"/>
            <w:hideMark/>
          </w:tcPr>
          <w:p w14:paraId="45CC82D4" w14:textId="03C89A7C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12.542 </w:t>
            </w:r>
          </w:p>
        </w:tc>
        <w:tc>
          <w:tcPr>
            <w:tcW w:w="999" w:type="pct"/>
            <w:noWrap/>
            <w:vAlign w:val="bottom"/>
            <w:hideMark/>
          </w:tcPr>
          <w:p w14:paraId="51C3C7EC" w14:textId="1159F430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3.899 </w:t>
            </w:r>
          </w:p>
        </w:tc>
        <w:tc>
          <w:tcPr>
            <w:tcW w:w="1140" w:type="pct"/>
            <w:noWrap/>
            <w:vAlign w:val="bottom"/>
            <w:hideMark/>
          </w:tcPr>
          <w:p w14:paraId="5ED97875" w14:textId="7BDAD599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0,31 </w:t>
            </w:r>
          </w:p>
        </w:tc>
      </w:tr>
      <w:tr w:rsidR="00630F83" w:rsidRPr="00AA1785" w14:paraId="3B95E3D3" w14:textId="77777777" w:rsidTr="00B971C4">
        <w:trPr>
          <w:trHeight w:val="397"/>
        </w:trPr>
        <w:tc>
          <w:tcPr>
            <w:tcW w:w="1417" w:type="pct"/>
            <w:noWrap/>
            <w:vAlign w:val="bottom"/>
            <w:hideMark/>
          </w:tcPr>
          <w:p w14:paraId="078DC20E" w14:textId="0278C93A" w:rsidR="00630F83" w:rsidRPr="00AA1785" w:rsidRDefault="00630F83" w:rsidP="00630F83">
            <w:pPr>
              <w:jc w:val="lef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Madagascar</w:t>
            </w:r>
          </w:p>
        </w:tc>
        <w:tc>
          <w:tcPr>
            <w:tcW w:w="1444" w:type="pct"/>
            <w:noWrap/>
            <w:vAlign w:val="bottom"/>
            <w:hideMark/>
          </w:tcPr>
          <w:p w14:paraId="645A5519" w14:textId="31142764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8.429 </w:t>
            </w:r>
          </w:p>
        </w:tc>
        <w:tc>
          <w:tcPr>
            <w:tcW w:w="999" w:type="pct"/>
            <w:noWrap/>
            <w:vAlign w:val="bottom"/>
            <w:hideMark/>
          </w:tcPr>
          <w:p w14:paraId="787F7AE4" w14:textId="1716315E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4.836 </w:t>
            </w:r>
          </w:p>
        </w:tc>
        <w:tc>
          <w:tcPr>
            <w:tcW w:w="1140" w:type="pct"/>
            <w:noWrap/>
            <w:vAlign w:val="bottom"/>
            <w:hideMark/>
          </w:tcPr>
          <w:p w14:paraId="4D9A82B9" w14:textId="004C3E6C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0,57 </w:t>
            </w:r>
          </w:p>
        </w:tc>
      </w:tr>
      <w:tr w:rsidR="00630F83" w:rsidRPr="00AA1785" w14:paraId="6F5EF3D7" w14:textId="77777777" w:rsidTr="00B971C4">
        <w:trPr>
          <w:trHeight w:val="397"/>
        </w:trPr>
        <w:tc>
          <w:tcPr>
            <w:tcW w:w="1417" w:type="pct"/>
            <w:tcBorders>
              <w:bottom w:val="single" w:sz="18" w:space="0" w:color="8AB833" w:themeColor="accent2"/>
            </w:tcBorders>
            <w:noWrap/>
            <w:vAlign w:val="bottom"/>
            <w:hideMark/>
          </w:tcPr>
          <w:p w14:paraId="0051EFB8" w14:textId="0328BE93" w:rsidR="00630F83" w:rsidRPr="00AA1785" w:rsidRDefault="00630F83" w:rsidP="00630F83">
            <w:pPr>
              <w:jc w:val="lef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Malaysia</w:t>
            </w:r>
          </w:p>
        </w:tc>
        <w:tc>
          <w:tcPr>
            <w:tcW w:w="1444" w:type="pct"/>
            <w:tcBorders>
              <w:bottom w:val="single" w:sz="18" w:space="0" w:color="8AB833" w:themeColor="accent2"/>
            </w:tcBorders>
            <w:noWrap/>
            <w:vAlign w:val="bottom"/>
            <w:hideMark/>
          </w:tcPr>
          <w:p w14:paraId="6266260E" w14:textId="6F437215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8.289 </w:t>
            </w:r>
          </w:p>
        </w:tc>
        <w:tc>
          <w:tcPr>
            <w:tcW w:w="999" w:type="pct"/>
            <w:tcBorders>
              <w:bottom w:val="single" w:sz="18" w:space="0" w:color="8AB833" w:themeColor="accent2"/>
            </w:tcBorders>
            <w:noWrap/>
            <w:vAlign w:val="bottom"/>
            <w:hideMark/>
          </w:tcPr>
          <w:p w14:paraId="03CEDA7B" w14:textId="0850CB07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34.408 </w:t>
            </w:r>
          </w:p>
        </w:tc>
        <w:tc>
          <w:tcPr>
            <w:tcW w:w="1140" w:type="pct"/>
            <w:tcBorders>
              <w:bottom w:val="single" w:sz="18" w:space="0" w:color="8AB833" w:themeColor="accent2"/>
            </w:tcBorders>
            <w:noWrap/>
            <w:vAlign w:val="bottom"/>
            <w:hideMark/>
          </w:tcPr>
          <w:p w14:paraId="31A0580F" w14:textId="1ECEB27A" w:rsidR="00630F83" w:rsidRPr="00AA1785" w:rsidRDefault="00630F83" w:rsidP="00630F83">
            <w:pPr>
              <w:jc w:val="right"/>
              <w:rPr>
                <w:rFonts w:cs="Arial"/>
                <w:iCs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4,15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