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Thực trạng nguồn nước thải công bố năm 2024</w:t>
      </w:r>
    </w:p>
    <w:p>
      <w:pPr/>
      <w:r>
        <w:t>Nguồn: Cục Quản lý tài nguyên nước,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4869"/>
        <w:gridCol w:w="4202"/>
      </w:tblGrid>
      <w:tr w:rsidR="000D2A58" w:rsidRPr="00FB5A14" w14:paraId="7F6473FE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pct"/>
          </w:tcPr>
          <w:p w14:paraId="35022353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Nhân</w:t>
            </w:r>
            <w:r w:rsidRPr="00FB5A14">
              <w:rPr>
                <w:rFonts w:ascii="Times New Roman" w:hAnsi="Times New Roman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tố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chính</w:t>
            </w:r>
          </w:p>
        </w:tc>
        <w:tc>
          <w:tcPr>
            <w:tcW w:w="2316" w:type="pct"/>
          </w:tcPr>
          <w:p w14:paraId="2E11E3F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Giá trị 2024</w:t>
            </w:r>
          </w:p>
        </w:tc>
      </w:tr>
      <w:tr w:rsidR="000D2A58" w:rsidRPr="00FB5A14" w14:paraId="650D7C0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pct"/>
            <w:shd w:val="clear" w:color="auto" w:fill="auto"/>
          </w:tcPr>
          <w:p w14:paraId="4BC2C69E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9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công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trình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xả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8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1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6"/>
                <w:sz w:val="27"/>
                <w:szCs w:val="27"/>
              </w:rPr>
              <w:t>thải</w:t>
            </w:r>
          </w:p>
        </w:tc>
        <w:tc>
          <w:tcPr>
            <w:tcW w:w="2316" w:type="pct"/>
            <w:shd w:val="clear" w:color="auto" w:fill="auto"/>
          </w:tcPr>
          <w:p w14:paraId="0A4A723E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3.530</w:t>
            </w:r>
          </w:p>
        </w:tc>
      </w:tr>
      <w:tr w:rsidR="000D2A58" w:rsidRPr="00FB5A14" w14:paraId="7147E9BC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pct"/>
          </w:tcPr>
          <w:p w14:paraId="515B1724" w14:textId="77777777" w:rsidR="000D2A58" w:rsidRPr="00FB5A14" w:rsidRDefault="000D2A58" w:rsidP="00D6640C">
            <w:pPr>
              <w:pStyle w:val="111"/>
              <w:spacing w:before="0" w:after="0"/>
              <w:outlineLvl w:val="9"/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Lưu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xả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z w:val="27"/>
                <w:szCs w:val="27"/>
              </w:rPr>
              <w:t>vào nguồn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4"/>
                <w:sz w:val="27"/>
                <w:szCs w:val="27"/>
              </w:rPr>
              <w:t>nước (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2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2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/>
                <w:b w:val="0"/>
                <w:bCs/>
                <w:color w:val="auto"/>
                <w:spacing w:val="-2"/>
                <w:sz w:val="27"/>
                <w:szCs w:val="27"/>
              </w:rPr>
              <w:t>/ngày)</w:t>
            </w:r>
          </w:p>
        </w:tc>
        <w:tc>
          <w:tcPr>
            <w:tcW w:w="2316" w:type="pct"/>
          </w:tcPr>
          <w:p w14:paraId="2E93A5AF" w14:textId="77777777" w:rsidR="000D2A58" w:rsidRPr="00FB5A14" w:rsidRDefault="000D2A58" w:rsidP="00D6640C">
            <w:pPr>
              <w:pStyle w:val="111"/>
              <w:spacing w:before="0" w:after="0"/>
              <w:jc w:val="center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28.244.870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