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Sản lượng khai thác khoáng sản nguyên khai giai đoạn 2022-2024</w:t>
      </w:r>
    </w:p>
    <w:p>
      <w:pPr/>
      <w:r>
        <w:t>Nguồn: Bộ Tài nguyên và Môi trường, Báo cáo Tình hình quản lý nhà nước về khoáng sản trên phạm vị toàn quốc năm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489"/>
        <w:gridCol w:w="1745"/>
        <w:gridCol w:w="1918"/>
        <w:gridCol w:w="1919"/>
      </w:tblGrid>
      <w:tr w:rsidR="000D2A58" w:rsidRPr="00FB5A14" w14:paraId="0254BB92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3273212F" w14:textId="77777777" w:rsidR="000D2A58" w:rsidRPr="00FB5A14" w:rsidRDefault="000D2A58" w:rsidP="00D6640C">
            <w:pPr>
              <w:pStyle w:val="TableParagraph"/>
              <w:ind w:left="789" w:right="268" w:hanging="509"/>
              <w:jc w:val="center"/>
              <w:rPr>
                <w:rFonts w:ascii="Times New Roman" w:hAnsi="Times New Roman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Cs w:val="0"/>
                <w:color w:val="auto"/>
                <w:sz w:val="27"/>
                <w:szCs w:val="27"/>
              </w:rPr>
              <w:t>Loại</w:t>
            </w:r>
            <w:r w:rsidRPr="00FB5A14">
              <w:rPr>
                <w:rFonts w:ascii="Times New Roman" w:hAnsi="Times New Roman"/>
                <w:bCs w:val="0"/>
                <w:color w:val="auto"/>
                <w:spacing w:val="-17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bCs w:val="0"/>
                <w:color w:val="auto"/>
                <w:sz w:val="27"/>
                <w:szCs w:val="27"/>
              </w:rPr>
              <w:t xml:space="preserve">khoáng </w:t>
            </w:r>
            <w:r w:rsidRPr="00FB5A14">
              <w:rPr>
                <w:rFonts w:ascii="Times New Roman" w:hAnsi="Times New Roman"/>
                <w:bCs w:val="0"/>
                <w:color w:val="auto"/>
                <w:spacing w:val="-4"/>
                <w:sz w:val="27"/>
                <w:szCs w:val="27"/>
              </w:rPr>
              <w:t>sản</w:t>
            </w:r>
          </w:p>
        </w:tc>
        <w:tc>
          <w:tcPr>
            <w:tcW w:w="962" w:type="pct"/>
          </w:tcPr>
          <w:p w14:paraId="05CCC6B8" w14:textId="77777777" w:rsidR="000D2A58" w:rsidRPr="00FB5A14" w:rsidRDefault="000D2A58" w:rsidP="00D6640C">
            <w:pPr>
              <w:pStyle w:val="TableParagraph"/>
              <w:ind w:left="176" w:firstLine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Cs w:val="0"/>
                <w:color w:val="auto"/>
                <w:sz w:val="27"/>
                <w:szCs w:val="27"/>
                <w:lang w:val="en-US"/>
              </w:rPr>
              <w:t>Năm 2022</w:t>
            </w:r>
          </w:p>
        </w:tc>
        <w:tc>
          <w:tcPr>
            <w:tcW w:w="1057" w:type="pct"/>
          </w:tcPr>
          <w:p w14:paraId="1BF02EA1" w14:textId="77777777" w:rsidR="000D2A58" w:rsidRPr="00FB5A14" w:rsidRDefault="000D2A58" w:rsidP="00D6640C">
            <w:pPr>
              <w:pStyle w:val="TableParagraph"/>
              <w:ind w:left="176" w:firstLine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Cs w:val="0"/>
                <w:color w:val="auto"/>
                <w:sz w:val="27"/>
                <w:szCs w:val="27"/>
                <w:lang w:val="en-US"/>
              </w:rPr>
              <w:t>Năm 2023</w:t>
            </w:r>
          </w:p>
        </w:tc>
        <w:tc>
          <w:tcPr>
            <w:tcW w:w="1058" w:type="pct"/>
          </w:tcPr>
          <w:p w14:paraId="6839894A" w14:textId="77777777" w:rsidR="000D2A58" w:rsidRPr="00FB5A14" w:rsidRDefault="000D2A58" w:rsidP="00D6640C">
            <w:pPr>
              <w:pStyle w:val="TableParagraph"/>
              <w:ind w:left="176" w:firstLine="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Cs w:val="0"/>
                <w:color w:val="auto"/>
                <w:sz w:val="27"/>
                <w:szCs w:val="27"/>
                <w:lang w:val="en-US"/>
              </w:rPr>
              <w:t>Năm 2024</w:t>
            </w:r>
          </w:p>
        </w:tc>
      </w:tr>
      <w:tr w:rsidR="000D2A58" w:rsidRPr="00FB5A14" w14:paraId="77CC6B17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07AC81CC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Than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7FFC1399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46.243.816</w:t>
            </w:r>
          </w:p>
        </w:tc>
        <w:tc>
          <w:tcPr>
            <w:tcW w:w="1057" w:type="pct"/>
            <w:shd w:val="clear" w:color="auto" w:fill="auto"/>
          </w:tcPr>
          <w:p w14:paraId="0488D70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43.739.143</w:t>
            </w:r>
          </w:p>
        </w:tc>
        <w:tc>
          <w:tcPr>
            <w:tcW w:w="1058" w:type="pct"/>
            <w:shd w:val="clear" w:color="auto" w:fill="auto"/>
          </w:tcPr>
          <w:p w14:paraId="10ADD4E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44.305.165</w:t>
            </w:r>
          </w:p>
        </w:tc>
      </w:tr>
      <w:tr w:rsidR="000D2A58" w:rsidRPr="00FB5A14" w14:paraId="5947A94F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783549C3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Apatit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</w:tcPr>
          <w:p w14:paraId="2F5BBA26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4.230.689</w:t>
            </w:r>
          </w:p>
        </w:tc>
        <w:tc>
          <w:tcPr>
            <w:tcW w:w="1057" w:type="pct"/>
          </w:tcPr>
          <w:p w14:paraId="6D01047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7.631.440</w:t>
            </w:r>
          </w:p>
        </w:tc>
        <w:tc>
          <w:tcPr>
            <w:tcW w:w="1058" w:type="pct"/>
          </w:tcPr>
          <w:p w14:paraId="5B15401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4.704.207</w:t>
            </w:r>
          </w:p>
        </w:tc>
      </w:tr>
      <w:tr w:rsidR="000D2A58" w:rsidRPr="00FB5A14" w14:paraId="6EE71697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2D373370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Đồng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39BD0D3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3.352.899</w:t>
            </w:r>
          </w:p>
        </w:tc>
        <w:tc>
          <w:tcPr>
            <w:tcW w:w="1057" w:type="pct"/>
            <w:shd w:val="clear" w:color="auto" w:fill="auto"/>
          </w:tcPr>
          <w:p w14:paraId="24B0629A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3.933.634</w:t>
            </w:r>
          </w:p>
        </w:tc>
        <w:tc>
          <w:tcPr>
            <w:tcW w:w="1058" w:type="pct"/>
            <w:shd w:val="clear" w:color="auto" w:fill="auto"/>
          </w:tcPr>
          <w:p w14:paraId="1DC3783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3.924.453</w:t>
            </w:r>
          </w:p>
        </w:tc>
      </w:tr>
      <w:tr w:rsidR="000D2A58" w:rsidRPr="00FB5A14" w14:paraId="2C1BCB07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325A856F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Thiếc - vonfram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</w:tcPr>
          <w:p w14:paraId="55BDC06D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4.157.005</w:t>
            </w:r>
          </w:p>
        </w:tc>
        <w:tc>
          <w:tcPr>
            <w:tcW w:w="1057" w:type="pct"/>
          </w:tcPr>
          <w:p w14:paraId="6B8BEBEA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640.223</w:t>
            </w:r>
          </w:p>
        </w:tc>
        <w:tc>
          <w:tcPr>
            <w:tcW w:w="1058" w:type="pct"/>
          </w:tcPr>
          <w:p w14:paraId="71E6536F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1.556.312</w:t>
            </w:r>
          </w:p>
        </w:tc>
      </w:tr>
      <w:tr w:rsidR="000D2A58" w:rsidRPr="00FB5A14" w14:paraId="0A74BC7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41488F34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Chì kẽm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17AA988F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315.005</w:t>
            </w:r>
          </w:p>
        </w:tc>
        <w:tc>
          <w:tcPr>
            <w:tcW w:w="1057" w:type="pct"/>
            <w:shd w:val="clear" w:color="auto" w:fill="auto"/>
          </w:tcPr>
          <w:p w14:paraId="06AB513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286.239</w:t>
            </w:r>
          </w:p>
        </w:tc>
        <w:tc>
          <w:tcPr>
            <w:tcW w:w="1058" w:type="pct"/>
            <w:shd w:val="clear" w:color="auto" w:fill="auto"/>
          </w:tcPr>
          <w:p w14:paraId="75564A7E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283.142</w:t>
            </w:r>
          </w:p>
        </w:tc>
      </w:tr>
      <w:tr w:rsidR="000D2A58" w:rsidRPr="00FB5A14" w14:paraId="37FBB02D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3B6FAC80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Sắt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</w:tcPr>
          <w:p w14:paraId="463980F8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2.639.332</w:t>
            </w:r>
          </w:p>
        </w:tc>
        <w:tc>
          <w:tcPr>
            <w:tcW w:w="1057" w:type="pct"/>
          </w:tcPr>
          <w:p w14:paraId="27157519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1.412548</w:t>
            </w:r>
          </w:p>
        </w:tc>
        <w:tc>
          <w:tcPr>
            <w:tcW w:w="1058" w:type="pct"/>
          </w:tcPr>
          <w:p w14:paraId="7D3A1319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2.008.708</w:t>
            </w:r>
          </w:p>
        </w:tc>
      </w:tr>
      <w:tr w:rsidR="000D2A58" w:rsidRPr="00FB5A14" w14:paraId="696EB97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4DA27F32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Bauxit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6DF67AA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5.180.227</w:t>
            </w:r>
          </w:p>
        </w:tc>
        <w:tc>
          <w:tcPr>
            <w:tcW w:w="1057" w:type="pct"/>
            <w:shd w:val="clear" w:color="auto" w:fill="auto"/>
          </w:tcPr>
          <w:p w14:paraId="23CB47AF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7.515.204</w:t>
            </w:r>
          </w:p>
        </w:tc>
        <w:tc>
          <w:tcPr>
            <w:tcW w:w="1058" w:type="pct"/>
            <w:shd w:val="clear" w:color="auto" w:fill="auto"/>
          </w:tcPr>
          <w:p w14:paraId="4889CC48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7.727.784</w:t>
            </w:r>
          </w:p>
        </w:tc>
      </w:tr>
      <w:tr w:rsidR="000D2A58" w:rsidRPr="00FB5A14" w14:paraId="71743B37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57CE568F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Kaolin - felspat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</w:tcPr>
          <w:p w14:paraId="21DB929A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1.100.099</w:t>
            </w:r>
          </w:p>
        </w:tc>
        <w:tc>
          <w:tcPr>
            <w:tcW w:w="1057" w:type="pct"/>
          </w:tcPr>
          <w:p w14:paraId="7F93F1F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1.690.175</w:t>
            </w:r>
          </w:p>
        </w:tc>
        <w:tc>
          <w:tcPr>
            <w:tcW w:w="1058" w:type="pct"/>
          </w:tcPr>
          <w:p w14:paraId="69B575C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533.493.756</w:t>
            </w:r>
          </w:p>
        </w:tc>
      </w:tr>
      <w:tr w:rsidR="000D2A58" w:rsidRPr="00FB5A14" w14:paraId="37DC83C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1310AAB7" w14:textId="77777777" w:rsidR="000D2A58" w:rsidRPr="00FB5A14" w:rsidRDefault="000D2A58" w:rsidP="00D6640C">
            <w:pPr>
              <w:pStyle w:val="TableParagraph"/>
              <w:ind w:left="108" w:right="26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Đá hoa trắng, đá vôi bột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  <w:shd w:val="clear" w:color="auto" w:fill="auto"/>
          </w:tcPr>
          <w:p w14:paraId="0171DA2B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3.624.840</w:t>
            </w:r>
          </w:p>
        </w:tc>
        <w:tc>
          <w:tcPr>
            <w:tcW w:w="1057" w:type="pct"/>
            <w:shd w:val="clear" w:color="auto" w:fill="auto"/>
          </w:tcPr>
          <w:p w14:paraId="07CB532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137.211</w:t>
            </w:r>
          </w:p>
        </w:tc>
        <w:tc>
          <w:tcPr>
            <w:tcW w:w="1058" w:type="pct"/>
            <w:shd w:val="clear" w:color="auto" w:fill="auto"/>
          </w:tcPr>
          <w:p w14:paraId="1E40D29D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12.928.496</w:t>
            </w:r>
          </w:p>
        </w:tc>
      </w:tr>
      <w:tr w:rsidR="000D2A58" w:rsidRPr="00FB5A14" w14:paraId="6BB782C5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21B9187E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 xml:space="preserve">Đá vôi 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  <w:t xml:space="preserve">xi măng </w:t>
            </w:r>
          </w:p>
        </w:tc>
        <w:tc>
          <w:tcPr>
            <w:tcW w:w="962" w:type="pct"/>
          </w:tcPr>
          <w:p w14:paraId="54ED60CE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147.174.002</w:t>
            </w:r>
          </w:p>
        </w:tc>
        <w:tc>
          <w:tcPr>
            <w:tcW w:w="1057" w:type="pct"/>
          </w:tcPr>
          <w:p w14:paraId="31A7A02B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109.017.585</w:t>
            </w:r>
          </w:p>
        </w:tc>
        <w:tc>
          <w:tcPr>
            <w:tcW w:w="1058" w:type="pct"/>
          </w:tcPr>
          <w:p w14:paraId="06B8699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33.450.989</w:t>
            </w:r>
          </w:p>
        </w:tc>
      </w:tr>
      <w:tr w:rsidR="000D2A58" w:rsidRPr="00FB5A14" w14:paraId="70B30CC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7A20B341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 xml:space="preserve">Đá sét 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  <w:t>xi măng</w:t>
            </w:r>
          </w:p>
        </w:tc>
        <w:tc>
          <w:tcPr>
            <w:tcW w:w="962" w:type="pct"/>
            <w:shd w:val="clear" w:color="auto" w:fill="auto"/>
          </w:tcPr>
          <w:p w14:paraId="5389AFD6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5.154.829</w:t>
            </w:r>
          </w:p>
        </w:tc>
        <w:tc>
          <w:tcPr>
            <w:tcW w:w="1057" w:type="pct"/>
            <w:shd w:val="clear" w:color="auto" w:fill="auto"/>
          </w:tcPr>
          <w:p w14:paraId="642B7BE2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2.890.007</w:t>
            </w:r>
          </w:p>
        </w:tc>
        <w:tc>
          <w:tcPr>
            <w:tcW w:w="1058" w:type="pct"/>
            <w:shd w:val="clear" w:color="auto" w:fill="auto"/>
          </w:tcPr>
          <w:p w14:paraId="733C707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3.533.644</w:t>
            </w:r>
          </w:p>
        </w:tc>
      </w:tr>
      <w:tr w:rsidR="000D2A58" w:rsidRPr="00FB5A14" w14:paraId="20CA60F9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1FFED54A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Đá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vôi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làm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US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VLXDTT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</w:tcPr>
          <w:p w14:paraId="0E493002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67.280.275</w:t>
            </w:r>
          </w:p>
        </w:tc>
        <w:tc>
          <w:tcPr>
            <w:tcW w:w="1057" w:type="pct"/>
          </w:tcPr>
          <w:p w14:paraId="28C3721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14.316.421</w:t>
            </w:r>
          </w:p>
        </w:tc>
        <w:tc>
          <w:tcPr>
            <w:tcW w:w="1058" w:type="pct"/>
          </w:tcPr>
          <w:p w14:paraId="6CFC295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29.949.379</w:t>
            </w:r>
          </w:p>
        </w:tc>
      </w:tr>
      <w:tr w:rsidR="000D2A58" w:rsidRPr="00FB5A14" w14:paraId="5161FF7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0EF6E1D7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Cát sỏi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  <w:shd w:val="clear" w:color="auto" w:fill="auto"/>
          </w:tcPr>
          <w:p w14:paraId="30429D1E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35.090.559</w:t>
            </w:r>
          </w:p>
        </w:tc>
        <w:tc>
          <w:tcPr>
            <w:tcW w:w="1057" w:type="pct"/>
            <w:shd w:val="clear" w:color="auto" w:fill="auto"/>
          </w:tcPr>
          <w:p w14:paraId="0692619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28.683.581</w:t>
            </w:r>
          </w:p>
        </w:tc>
        <w:tc>
          <w:tcPr>
            <w:tcW w:w="1058" w:type="pct"/>
            <w:shd w:val="clear" w:color="auto" w:fill="auto"/>
          </w:tcPr>
          <w:p w14:paraId="38B6A19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107.204.432</w:t>
            </w:r>
          </w:p>
        </w:tc>
      </w:tr>
      <w:tr w:rsidR="000D2A58" w:rsidRPr="00FB5A14" w14:paraId="1D7C2B11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37932BE3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Sét gạch ngói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</w:tcPr>
          <w:p w14:paraId="24077643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14.020.300</w:t>
            </w:r>
          </w:p>
        </w:tc>
        <w:tc>
          <w:tcPr>
            <w:tcW w:w="1057" w:type="pct"/>
          </w:tcPr>
          <w:p w14:paraId="4D50B72A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 8.725.117</w:t>
            </w:r>
          </w:p>
        </w:tc>
        <w:tc>
          <w:tcPr>
            <w:tcW w:w="1058" w:type="pct"/>
          </w:tcPr>
          <w:p w14:paraId="2C8FA365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3.808.667</w:t>
            </w:r>
          </w:p>
        </w:tc>
      </w:tr>
      <w:tr w:rsidR="000D2A58" w:rsidRPr="00FB5A14" w14:paraId="787C017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3F8CE8B1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Vật liệu san lấp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  <w:shd w:val="clear" w:color="auto" w:fill="auto"/>
          </w:tcPr>
          <w:p w14:paraId="1BC7AD03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41.031.228</w:t>
            </w:r>
          </w:p>
        </w:tc>
        <w:tc>
          <w:tcPr>
            <w:tcW w:w="1057" w:type="pct"/>
            <w:shd w:val="clear" w:color="auto" w:fill="auto"/>
          </w:tcPr>
          <w:p w14:paraId="56451658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27.709.726</w:t>
            </w:r>
          </w:p>
        </w:tc>
        <w:tc>
          <w:tcPr>
            <w:tcW w:w="1058" w:type="pct"/>
            <w:shd w:val="clear" w:color="auto" w:fill="auto"/>
          </w:tcPr>
          <w:p w14:paraId="33770809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442.122.982</w:t>
            </w:r>
          </w:p>
        </w:tc>
      </w:tr>
      <w:tr w:rsidR="000D2A58" w:rsidRPr="00FB5A14" w14:paraId="5C9452ED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4851BF13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Cát trắng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</w:tcPr>
          <w:p w14:paraId="031C0B4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2.266.294</w:t>
            </w:r>
          </w:p>
        </w:tc>
        <w:tc>
          <w:tcPr>
            <w:tcW w:w="1057" w:type="pct"/>
          </w:tcPr>
          <w:p w14:paraId="65E87DCD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1.099.394</w:t>
            </w:r>
          </w:p>
        </w:tc>
        <w:tc>
          <w:tcPr>
            <w:tcW w:w="1058" w:type="pct"/>
          </w:tcPr>
          <w:p w14:paraId="232EFC5D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1.967.183</w:t>
            </w:r>
          </w:p>
        </w:tc>
      </w:tr>
      <w:tr w:rsidR="000D2A58" w:rsidRPr="00FB5A14" w14:paraId="25EF518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413E3174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Titan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09FC037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159.717</w:t>
            </w:r>
          </w:p>
        </w:tc>
        <w:tc>
          <w:tcPr>
            <w:tcW w:w="1057" w:type="pct"/>
            <w:shd w:val="clear" w:color="auto" w:fill="auto"/>
          </w:tcPr>
          <w:p w14:paraId="241CA06D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191.932</w:t>
            </w:r>
          </w:p>
        </w:tc>
        <w:tc>
          <w:tcPr>
            <w:tcW w:w="1058" w:type="pct"/>
            <w:shd w:val="clear" w:color="auto" w:fill="auto"/>
          </w:tcPr>
          <w:p w14:paraId="79434D09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170.655</w:t>
            </w:r>
          </w:p>
        </w:tc>
      </w:tr>
      <w:tr w:rsidR="000D2A58" w:rsidRPr="00FB5A14" w14:paraId="63CA73FA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69165F75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Nước khoáng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</w:tcPr>
          <w:p w14:paraId="1A59020B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968.854</w:t>
            </w:r>
          </w:p>
        </w:tc>
        <w:tc>
          <w:tcPr>
            <w:tcW w:w="1057" w:type="pct"/>
          </w:tcPr>
          <w:p w14:paraId="63B0211B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2.686.639</w:t>
            </w:r>
          </w:p>
        </w:tc>
        <w:tc>
          <w:tcPr>
            <w:tcW w:w="1058" w:type="pct"/>
          </w:tcPr>
          <w:p w14:paraId="76F30317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993.488</w:t>
            </w:r>
          </w:p>
        </w:tc>
      </w:tr>
      <w:tr w:rsidR="000D2A58" w:rsidRPr="00FB5A14" w14:paraId="5EA9E4B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68D029F1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Thạch anh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14E5E08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628.976</w:t>
            </w:r>
          </w:p>
        </w:tc>
        <w:tc>
          <w:tcPr>
            <w:tcW w:w="1057" w:type="pct"/>
            <w:shd w:val="clear" w:color="auto" w:fill="auto"/>
          </w:tcPr>
          <w:p w14:paraId="51E2D2E3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558.259</w:t>
            </w:r>
          </w:p>
        </w:tc>
        <w:tc>
          <w:tcPr>
            <w:tcW w:w="1058" w:type="pct"/>
            <w:shd w:val="clear" w:color="auto" w:fill="auto"/>
          </w:tcPr>
          <w:p w14:paraId="05C12B6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70.837</w:t>
            </w:r>
          </w:p>
        </w:tc>
      </w:tr>
      <w:tr w:rsidR="000D2A58" w:rsidRPr="00FB5A14" w14:paraId="7B481E31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36B7BDA2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Đá các loại làm VLXDTT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SG"/>
              </w:rPr>
              <w:t>(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m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vertAlign w:val="superscript"/>
                <w:lang w:val="en-US"/>
              </w:rPr>
              <w:t>3</w:t>
            </w:r>
            <w:r w:rsidRPr="00FB5A14">
              <w:rPr>
                <w:rFonts w:ascii="Times New Roman" w:hAnsi="Times New Roman"/>
                <w:b w:val="0"/>
                <w:color w:val="auto"/>
                <w:spacing w:val="-2"/>
                <w:sz w:val="27"/>
                <w:szCs w:val="27"/>
                <w:lang w:val="en-US"/>
              </w:rPr>
              <w:t>)</w:t>
            </w:r>
          </w:p>
        </w:tc>
        <w:tc>
          <w:tcPr>
            <w:tcW w:w="962" w:type="pct"/>
          </w:tcPr>
          <w:p w14:paraId="41F2CD7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1.863.114</w:t>
            </w:r>
          </w:p>
        </w:tc>
        <w:tc>
          <w:tcPr>
            <w:tcW w:w="1057" w:type="pct"/>
          </w:tcPr>
          <w:p w14:paraId="1AC01682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  54.127.339</w:t>
            </w:r>
          </w:p>
        </w:tc>
        <w:tc>
          <w:tcPr>
            <w:tcW w:w="1058" w:type="pct"/>
          </w:tcPr>
          <w:p w14:paraId="562C446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70.096.292</w:t>
            </w:r>
          </w:p>
        </w:tc>
      </w:tr>
      <w:tr w:rsidR="000D2A58" w:rsidRPr="00FB5A14" w14:paraId="14E326D6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18BB3FA7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Than bùn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6285BB43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66.722</w:t>
            </w:r>
          </w:p>
        </w:tc>
        <w:tc>
          <w:tcPr>
            <w:tcW w:w="1057" w:type="pct"/>
            <w:shd w:val="clear" w:color="auto" w:fill="auto"/>
          </w:tcPr>
          <w:p w14:paraId="3F6DF22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271.679</w:t>
            </w:r>
          </w:p>
        </w:tc>
        <w:tc>
          <w:tcPr>
            <w:tcW w:w="1058" w:type="pct"/>
            <w:shd w:val="clear" w:color="auto" w:fill="auto"/>
          </w:tcPr>
          <w:p w14:paraId="77EE87F8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169.692</w:t>
            </w:r>
          </w:p>
        </w:tc>
      </w:tr>
      <w:tr w:rsidR="000D2A58" w:rsidRPr="00FB5A14" w14:paraId="0CA95A2A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</w:tcPr>
          <w:p w14:paraId="6955AF64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Antimon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</w:tcPr>
          <w:p w14:paraId="17366C64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</w:p>
        </w:tc>
        <w:tc>
          <w:tcPr>
            <w:tcW w:w="1057" w:type="pct"/>
          </w:tcPr>
          <w:p w14:paraId="1DE902BC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</w:p>
        </w:tc>
        <w:tc>
          <w:tcPr>
            <w:tcW w:w="1058" w:type="pct"/>
          </w:tcPr>
          <w:p w14:paraId="0F1AA7F0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6.239.456</w:t>
            </w:r>
          </w:p>
        </w:tc>
      </w:tr>
      <w:tr w:rsidR="000D2A58" w:rsidRPr="00FB5A14" w14:paraId="4C8CC9C6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pct"/>
            <w:shd w:val="clear" w:color="auto" w:fill="auto"/>
          </w:tcPr>
          <w:p w14:paraId="57F4A4AB" w14:textId="77777777" w:rsidR="000D2A58" w:rsidRPr="00FB5A14" w:rsidRDefault="000D2A58" w:rsidP="00D6640C">
            <w:pPr>
              <w:pStyle w:val="TableParagraph"/>
              <w:ind w:left="108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  <w:t>Puzơlan</w:t>
            </w:r>
            <w:r w:rsidRPr="00FB5A14"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FB5A14">
              <w:rPr>
                <w:rFonts w:ascii="Times New Roman" w:hAnsi="Times New Roman"/>
                <w:b w:val="0"/>
                <w:color w:val="auto"/>
                <w:spacing w:val="-4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962" w:type="pct"/>
            <w:shd w:val="clear" w:color="auto" w:fill="auto"/>
          </w:tcPr>
          <w:p w14:paraId="5F5E22CA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</w:p>
        </w:tc>
        <w:tc>
          <w:tcPr>
            <w:tcW w:w="1057" w:type="pct"/>
            <w:shd w:val="clear" w:color="auto" w:fill="auto"/>
          </w:tcPr>
          <w:p w14:paraId="39698416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</w:p>
        </w:tc>
        <w:tc>
          <w:tcPr>
            <w:tcW w:w="1058" w:type="pct"/>
            <w:shd w:val="clear" w:color="auto" w:fill="auto"/>
          </w:tcPr>
          <w:p w14:paraId="1FFD1EA1" w14:textId="77777777" w:rsidR="000D2A58" w:rsidRPr="00FB5A14" w:rsidRDefault="000D2A58" w:rsidP="00D6640C">
            <w:pPr>
              <w:pStyle w:val="TableParagraph"/>
              <w:ind w:right="9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2.980.686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