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Nguồn lực tài nguyên thủy sản biển giai đoạn 2020-2024</w:t>
      </w:r>
    </w:p>
    <w:p>
      <w:pPr/>
      <w:r>
        <w:t>Nguồn: Cục Thủy sản và Kiểm ngư, 2025. Cục Thống kê,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3266"/>
        <w:gridCol w:w="1161"/>
        <w:gridCol w:w="1161"/>
        <w:gridCol w:w="1161"/>
        <w:gridCol w:w="1161"/>
        <w:gridCol w:w="1161"/>
      </w:tblGrid>
      <w:tr w:rsidR="000D2A58" w:rsidRPr="00FB5A14" w14:paraId="748189D4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hideMark/>
          </w:tcPr>
          <w:p w14:paraId="1DE2BC01" w14:textId="77777777" w:rsidR="000D2A58" w:rsidRPr="00FB5A14" w:rsidRDefault="000D2A58" w:rsidP="00D6640C">
            <w:pPr>
              <w:pStyle w:val="TableParagraph"/>
              <w:spacing w:line="259" w:lineRule="auto"/>
              <w:ind w:left="204"/>
              <w:jc w:val="center"/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  <w:t>Chỉ tiêu</w:t>
            </w:r>
          </w:p>
        </w:tc>
        <w:tc>
          <w:tcPr>
            <w:tcW w:w="540" w:type="pct"/>
            <w:hideMark/>
          </w:tcPr>
          <w:p w14:paraId="1E534529" w14:textId="77777777" w:rsidR="000D2A58" w:rsidRPr="00FB5A14" w:rsidRDefault="000D2A58" w:rsidP="00D6640C">
            <w:pPr>
              <w:pStyle w:val="TableParagraph"/>
              <w:spacing w:line="259" w:lineRule="auto"/>
              <w:ind w:left="2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2020</w:t>
            </w:r>
          </w:p>
        </w:tc>
        <w:tc>
          <w:tcPr>
            <w:tcW w:w="624" w:type="pct"/>
            <w:hideMark/>
          </w:tcPr>
          <w:p w14:paraId="7B9104B7" w14:textId="77777777" w:rsidR="000D2A58" w:rsidRPr="00FB5A14" w:rsidRDefault="000D2A58" w:rsidP="00D6640C">
            <w:pPr>
              <w:pStyle w:val="TableParagraph"/>
              <w:spacing w:line="259" w:lineRule="auto"/>
              <w:ind w:left="2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2021</w:t>
            </w:r>
          </w:p>
        </w:tc>
        <w:tc>
          <w:tcPr>
            <w:tcW w:w="624" w:type="pct"/>
            <w:hideMark/>
          </w:tcPr>
          <w:p w14:paraId="056EE3FC" w14:textId="77777777" w:rsidR="000D2A58" w:rsidRPr="00FB5A14" w:rsidRDefault="000D2A58" w:rsidP="00D6640C">
            <w:pPr>
              <w:pStyle w:val="TableParagraph"/>
              <w:spacing w:line="259" w:lineRule="auto"/>
              <w:ind w:left="2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2022</w:t>
            </w:r>
          </w:p>
        </w:tc>
        <w:tc>
          <w:tcPr>
            <w:tcW w:w="624" w:type="pct"/>
            <w:hideMark/>
          </w:tcPr>
          <w:p w14:paraId="0A2CE5A2" w14:textId="77777777" w:rsidR="000D2A58" w:rsidRPr="00FB5A14" w:rsidRDefault="000D2A58" w:rsidP="00D6640C">
            <w:pPr>
              <w:pStyle w:val="TableParagraph"/>
              <w:spacing w:line="259" w:lineRule="auto"/>
              <w:ind w:left="2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2023</w:t>
            </w:r>
          </w:p>
        </w:tc>
        <w:tc>
          <w:tcPr>
            <w:tcW w:w="624" w:type="pct"/>
            <w:hideMark/>
          </w:tcPr>
          <w:p w14:paraId="77723C55" w14:textId="77777777" w:rsidR="000D2A58" w:rsidRPr="00FB5A14" w:rsidRDefault="000D2A58" w:rsidP="00D6640C">
            <w:pPr>
              <w:pStyle w:val="TableParagraph"/>
              <w:spacing w:line="259" w:lineRule="auto"/>
              <w:ind w:left="2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2024</w:t>
            </w:r>
          </w:p>
        </w:tc>
      </w:tr>
      <w:tr w:rsidR="000D2A58" w:rsidRPr="00FB5A14" w14:paraId="7B75AB6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shd w:val="clear" w:color="auto" w:fill="auto"/>
            <w:vAlign w:val="center"/>
          </w:tcPr>
          <w:p w14:paraId="28917B16" w14:textId="77777777" w:rsidR="000D2A58" w:rsidRPr="00FB5A14" w:rsidRDefault="000D2A58" w:rsidP="00D6640C">
            <w:pPr>
              <w:pStyle w:val="TableParagraph"/>
              <w:spacing w:line="259" w:lineRule="auto"/>
              <w:ind w:left="23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  <w:t>Tổng sản lượng nuôi trồng thủy sản biển (nghìn tấn)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02BB236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357,8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760BCCC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371,9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537CFA0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391,5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9250E15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438,7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D9A171D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424,5</w:t>
            </w:r>
          </w:p>
        </w:tc>
      </w:tr>
      <w:tr w:rsidR="000D2A58" w:rsidRPr="00FB5A14" w14:paraId="33CA5EB9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C3E19AF" w14:textId="77777777" w:rsidR="000D2A58" w:rsidRPr="00FB5A14" w:rsidRDefault="000D2A58" w:rsidP="00D6640C">
            <w:pPr>
              <w:pStyle w:val="TableParagraph"/>
              <w:spacing w:line="259" w:lineRule="auto"/>
              <w:ind w:left="183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US"/>
              </w:rPr>
              <w:t>- Cá biển</w:t>
            </w:r>
          </w:p>
        </w:tc>
        <w:tc>
          <w:tcPr>
            <w:tcW w:w="540" w:type="pct"/>
            <w:vAlign w:val="center"/>
          </w:tcPr>
          <w:p w14:paraId="256C4B7B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19,2</w:t>
            </w:r>
          </w:p>
        </w:tc>
        <w:tc>
          <w:tcPr>
            <w:tcW w:w="624" w:type="pct"/>
            <w:vAlign w:val="center"/>
          </w:tcPr>
          <w:p w14:paraId="46987FBB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18,6</w:t>
            </w:r>
          </w:p>
        </w:tc>
        <w:tc>
          <w:tcPr>
            <w:tcW w:w="624" w:type="pct"/>
            <w:vAlign w:val="center"/>
          </w:tcPr>
          <w:p w14:paraId="6368FECD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18,5</w:t>
            </w:r>
          </w:p>
        </w:tc>
        <w:tc>
          <w:tcPr>
            <w:tcW w:w="624" w:type="pct"/>
            <w:vAlign w:val="center"/>
          </w:tcPr>
          <w:p w14:paraId="4E03DE75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20,6</w:t>
            </w:r>
          </w:p>
        </w:tc>
        <w:tc>
          <w:tcPr>
            <w:tcW w:w="624" w:type="pct"/>
            <w:vAlign w:val="center"/>
          </w:tcPr>
          <w:p w14:paraId="0579FC22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25</w:t>
            </w:r>
          </w:p>
        </w:tc>
      </w:tr>
      <w:tr w:rsidR="000D2A58" w:rsidRPr="00FB5A14" w14:paraId="68E9A9F6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shd w:val="clear" w:color="auto" w:fill="auto"/>
            <w:vAlign w:val="center"/>
          </w:tcPr>
          <w:p w14:paraId="75A0A5C9" w14:textId="77777777" w:rsidR="000D2A58" w:rsidRPr="00FB5A14" w:rsidRDefault="000D2A58" w:rsidP="00D6640C">
            <w:pPr>
              <w:pStyle w:val="TableParagraph"/>
              <w:spacing w:line="259" w:lineRule="auto"/>
              <w:ind w:left="183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US"/>
              </w:rPr>
              <w:t>- Tôm biển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F051445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3,9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0E76578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3,5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82C9497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4,1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14D698D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4,2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1D73A6F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5,5</w:t>
            </w:r>
          </w:p>
        </w:tc>
      </w:tr>
      <w:tr w:rsidR="000D2A58" w:rsidRPr="00FB5A14" w14:paraId="14D8E7A2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72A2319" w14:textId="77777777" w:rsidR="000D2A58" w:rsidRPr="00FB5A14" w:rsidRDefault="000D2A58" w:rsidP="00D6640C">
            <w:pPr>
              <w:pStyle w:val="TableParagraph"/>
              <w:spacing w:line="259" w:lineRule="auto"/>
              <w:ind w:left="23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  <w:t>Khai thác thủy sản biển  (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n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  <w:t>ghìn tấn</w:t>
            </w: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)</w:t>
            </w:r>
          </w:p>
        </w:tc>
        <w:tc>
          <w:tcPr>
            <w:tcW w:w="540" w:type="pct"/>
            <w:vAlign w:val="center"/>
          </w:tcPr>
          <w:p w14:paraId="56916307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700,3</w:t>
            </w:r>
          </w:p>
        </w:tc>
        <w:tc>
          <w:tcPr>
            <w:tcW w:w="624" w:type="pct"/>
            <w:vAlign w:val="center"/>
          </w:tcPr>
          <w:p w14:paraId="2290E16E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745,1</w:t>
            </w:r>
          </w:p>
        </w:tc>
        <w:tc>
          <w:tcPr>
            <w:tcW w:w="624" w:type="pct"/>
            <w:vAlign w:val="center"/>
          </w:tcPr>
          <w:p w14:paraId="2B25034B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670,8</w:t>
            </w:r>
          </w:p>
        </w:tc>
        <w:tc>
          <w:tcPr>
            <w:tcW w:w="624" w:type="pct"/>
            <w:vAlign w:val="center"/>
          </w:tcPr>
          <w:p w14:paraId="45FC0EEA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630,8</w:t>
            </w:r>
          </w:p>
        </w:tc>
        <w:tc>
          <w:tcPr>
            <w:tcW w:w="624" w:type="pct"/>
            <w:vAlign w:val="center"/>
          </w:tcPr>
          <w:p w14:paraId="71D50976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670,3</w:t>
            </w:r>
          </w:p>
        </w:tc>
      </w:tr>
      <w:tr w:rsidR="000D2A58" w:rsidRPr="00FB5A14" w14:paraId="3CF85FC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shd w:val="clear" w:color="auto" w:fill="auto"/>
            <w:vAlign w:val="center"/>
          </w:tcPr>
          <w:p w14:paraId="603AFDC1" w14:textId="77777777" w:rsidR="000D2A58" w:rsidRPr="00FB5A14" w:rsidRDefault="000D2A58" w:rsidP="00D6640C">
            <w:pPr>
              <w:pStyle w:val="TableParagraph"/>
              <w:spacing w:line="259" w:lineRule="auto"/>
              <w:ind w:left="183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US"/>
              </w:rPr>
              <w:t>- Cá biển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225AF07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2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884,3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AB87830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2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923,6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1E77857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2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860,3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8009693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2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832,6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99D2746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2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i/>
                <w:iCs/>
                <w:color w:val="auto"/>
                <w:sz w:val="27"/>
                <w:szCs w:val="27"/>
                <w:lang w:val="vi-VN"/>
              </w:rPr>
              <w:t>819</w:t>
            </w:r>
          </w:p>
        </w:tc>
      </w:tr>
      <w:tr w:rsidR="000D2A58" w:rsidRPr="00FB5A14" w14:paraId="59DB6F70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1F801E3B" w14:textId="77777777" w:rsidR="000D2A58" w:rsidRPr="00FB5A14" w:rsidRDefault="000D2A58" w:rsidP="00D6640C">
            <w:pPr>
              <w:pStyle w:val="TableParagraph"/>
              <w:spacing w:line="259" w:lineRule="auto"/>
              <w:ind w:left="23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  <w:t>Số tàu khai thác thủy sản biển có công suất từ 90 CV trở lên (chiếc)</w:t>
            </w:r>
          </w:p>
        </w:tc>
        <w:tc>
          <w:tcPr>
            <w:tcW w:w="540" w:type="pct"/>
            <w:vAlign w:val="center"/>
          </w:tcPr>
          <w:p w14:paraId="11148059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35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214</w:t>
            </w:r>
          </w:p>
        </w:tc>
        <w:tc>
          <w:tcPr>
            <w:tcW w:w="624" w:type="pct"/>
            <w:vAlign w:val="center"/>
          </w:tcPr>
          <w:p w14:paraId="5A8C91AD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35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099</w:t>
            </w:r>
          </w:p>
        </w:tc>
        <w:tc>
          <w:tcPr>
            <w:tcW w:w="624" w:type="pct"/>
            <w:vAlign w:val="center"/>
          </w:tcPr>
          <w:p w14:paraId="5DBD6E4A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34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919</w:t>
            </w:r>
          </w:p>
        </w:tc>
        <w:tc>
          <w:tcPr>
            <w:tcW w:w="624" w:type="pct"/>
            <w:vAlign w:val="center"/>
          </w:tcPr>
          <w:p w14:paraId="473D01EC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34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825</w:t>
            </w:r>
          </w:p>
        </w:tc>
        <w:tc>
          <w:tcPr>
            <w:tcW w:w="624" w:type="pct"/>
            <w:vAlign w:val="center"/>
          </w:tcPr>
          <w:p w14:paraId="0A7F89F0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34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730</w:t>
            </w:r>
          </w:p>
        </w:tc>
      </w:tr>
      <w:tr w:rsidR="000D2A58" w:rsidRPr="00FB5A14" w14:paraId="1E39A57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shd w:val="clear" w:color="auto" w:fill="auto"/>
            <w:vAlign w:val="center"/>
          </w:tcPr>
          <w:p w14:paraId="524EFED1" w14:textId="77777777" w:rsidR="000D2A58" w:rsidRPr="00FB5A14" w:rsidRDefault="000D2A58" w:rsidP="00D6640C">
            <w:pPr>
              <w:pStyle w:val="TableParagraph"/>
              <w:spacing w:line="259" w:lineRule="auto"/>
              <w:ind w:left="23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  <w:t>Tổng công suất các tàu khai thác thủy sản biển từ 90 CV trở lên (nghìn CV)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B927DAE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14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273,4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DEC494F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14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214,3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CC55861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14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641,6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9DC64AA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14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623,2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70ECF75" w14:textId="77777777" w:rsidR="000D2A58" w:rsidRPr="00FB5A14" w:rsidRDefault="000D2A58" w:rsidP="00D6640C">
            <w:pPr>
              <w:pStyle w:val="TableParagraph"/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14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.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723,0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